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TIETZE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tietzehanna@gmail.com</w:t>
            </w:r>
            <w:r w:rsidRPr="001067CD">
              <w:rPr>
                <w:i/>
              </w:rPr>
              <w:br/>
            </w:r>
            <w:r w:rsidR="00A96AEC">
              <w:t>Nemzetközi Gazdaság és Gazdálkodás 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tőzsde: ki irányítja a nagyokat? - mélyreható elemzés a tulajdonosi struktúráról: dinamikák, hatások és perspektívák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magyarországi vezetői vállalatok; befektetési struktúra; ols regresszió; külföldi-belföldi nagybefektetők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magyarországi vezető vállalatok tulajdonosi struktúrájának elemzése volt.</w:t>
      </w:r>
      <w:r>
        <w:rPr>
          <w:color w:val="000000"/>
          <w:sz w:val="24"/>
          <w:szCs w:val="24"/>
        </w:rPr>
        <w:br/>
        <w:t xml:space="preserve">Az elemzés során a Budapesti Értéktőzsde jelentései alapján azonosított legjelentősebb</w:t>
      </w:r>
      <w:r>
        <w:rPr>
          <w:color w:val="000000"/>
          <w:sz w:val="24"/>
          <w:szCs w:val="24"/>
        </w:rPr>
        <w:br/>
        <w:t xml:space="preserve">magyarországi vállalatok közül az OTP, MOL, Richter, Telekom és a 4iG részvényei lettek</w:t>
      </w:r>
      <w:r>
        <w:rPr>
          <w:color w:val="000000"/>
          <w:sz w:val="24"/>
          <w:szCs w:val="24"/>
        </w:rPr>
        <w:br/>
        <w:t xml:space="preserve">vizsgálva. A tanulmány hipotézisei között szerepelt, hogy az intézményi befektetők aránya</w:t>
      </w:r>
      <w:r>
        <w:rPr>
          <w:color w:val="000000"/>
          <w:sz w:val="24"/>
          <w:szCs w:val="24"/>
        </w:rPr>
        <w:br/>
        <w:t xml:space="preserve">idővel növekszik, valamint, hogy ezek az intézményi befektetők homogén befektetői</w:t>
      </w:r>
      <w:r>
        <w:rPr>
          <w:color w:val="000000"/>
          <w:sz w:val="24"/>
          <w:szCs w:val="24"/>
        </w:rPr>
        <w:br/>
        <w:t xml:space="preserve">csoportot alkotnak, és befektetési döntéseik során nem differenciálnak a részvények között.</w:t>
      </w:r>
      <w:r>
        <w:rPr>
          <w:color w:val="000000"/>
          <w:sz w:val="24"/>
          <w:szCs w:val="24"/>
        </w:rPr>
        <w:br/>
        <w:t xml:space="preserve">Az eredmények ellenben ezt a második hipotézist nem támasztották alá, és megmutatták,</w:t>
      </w:r>
      <w:r>
        <w:rPr>
          <w:color w:val="000000"/>
          <w:sz w:val="24"/>
          <w:szCs w:val="24"/>
        </w:rPr>
        <w:br/>
        <w:t xml:space="preserve">hogy az intézményi befektetők részvényenként eltérő módon viselkednek. A kutatás</w:t>
      </w:r>
      <w:r>
        <w:rPr>
          <w:color w:val="000000"/>
          <w:sz w:val="24"/>
          <w:szCs w:val="24"/>
        </w:rPr>
        <w:br/>
        <w:t xml:space="preserve">emellett vizsgálta a Covid-19 koronavírus járvány és az orosz-ukrán háború esetleges</w:t>
      </w:r>
      <w:r>
        <w:rPr>
          <w:color w:val="000000"/>
          <w:sz w:val="24"/>
          <w:szCs w:val="24"/>
        </w:rPr>
        <w:br/>
        <w:t xml:space="preserve">hatásait is a vizsgált részvényekre. Konklúzióként megállapítható, hogy a magyarországi</w:t>
      </w:r>
      <w:r>
        <w:rPr>
          <w:color w:val="000000"/>
          <w:sz w:val="24"/>
          <w:szCs w:val="24"/>
        </w:rPr>
        <w:br/>
        <w:t xml:space="preserve">vezető vállalatok tulajdonosi struktúrája összetett, és az intézményi befektetők egyre</w:t>
      </w:r>
      <w:r>
        <w:rPr>
          <w:color w:val="000000"/>
          <w:sz w:val="24"/>
          <w:szCs w:val="24"/>
        </w:rPr>
        <w:br/>
        <w:t xml:space="preserve">fontosabb szerepet játszanak a tőzsdén. Az eredmények hasznosak lehetnek a</w:t>
      </w:r>
      <w:r>
        <w:rPr>
          <w:color w:val="000000"/>
          <w:sz w:val="24"/>
          <w:szCs w:val="24"/>
        </w:rPr>
        <w:br/>
        <w:t xml:space="preserve">vállalatvezetők számára, akik meg szeretnék érteni a tulajdonosi struktúrát és a befektetői</w:t>
      </w:r>
      <w:r>
        <w:rPr>
          <w:color w:val="000000"/>
          <w:sz w:val="24"/>
          <w:szCs w:val="24"/>
        </w:rPr>
        <w:br/>
        <w:t xml:space="preserve">elvárásokat a jobb reagálás érdekében, valamint a döntéshozók számára, akik a</w:t>
      </w:r>
      <w:r>
        <w:rPr>
          <w:color w:val="000000"/>
          <w:sz w:val="24"/>
          <w:szCs w:val="24"/>
        </w:rPr>
        <w:br/>
        <w:t xml:space="preserve">magyarországi tőzsde fejlesztésén dolgoznak, segítve őket abban, hogy hatékonyabb és</w:t>
      </w:r>
      <w:r>
        <w:rPr>
          <w:color w:val="000000"/>
          <w:sz w:val="24"/>
          <w:szCs w:val="24"/>
        </w:rPr>
        <w:br/>
        <w:t xml:space="preserve">sikeres irányvonalakat dolgozzanak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02926">
    <w:multiLevelType w:val="hybridMultilevel"/>
    <w:lvl w:ilvl="0" w:tplc="21107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02926">
    <w:abstractNumId w:val="266029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609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