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HANNA TIETZE</w:t>
            </w:r>
          </w:p>
          <w:p w:rsidR="00C275A3" w:rsidRDefault="00CA6B74" w:rsidP="00C275A3">
            <w:pPr>
              <w:pStyle w:val="Hallgatokepzes"/>
            </w:pPr>
            <w:r w:rsidRPr="001067CD">
              <w:rPr>
                <w:i/>
              </w:rPr>
              <w:t>tietzehanna@gmail.com</w:t>
            </w:r>
            <w:r w:rsidRPr="001067CD">
              <w:rPr>
                <w:i/>
              </w:rPr>
              <w:br/>
            </w:r>
            <w:r w:rsidR="00A96AEC">
              <w:t>International Business and Economics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Gábor Neszveda</w:t>
            </w:r>
          </w:p>
          <w:p w:rsidR="00DB4822" w:rsidRDefault="00DB4822" w:rsidP="00BA6BAF">
            <w:pPr>
              <w:pStyle w:val="Konzulensektitulus"/>
            </w:pPr>
            <w:r w:rsidRPr="00DB4822">
              <w:t>associate professor, NJE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Hungarian Stock Market: Who Controls The Big Ones? - In-depth analysis of ownership structures: dynamics, impacts and perspectives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Leading Hungarian companies; investment structure; OLS regression; foreign and domestic major investors</w:t>
      </w:r>
      <w:r>
        <w:t xml:space="preserve"/>
      </w:r>
    </w:p>
    <w:p>
      <w:pPr>
        <w:widowControl w:val="on"/>
        <w:pBdr/>
        <w:spacing w:before="240" w:after="240" w:line="240" w:lineRule="auto"/>
        <w:ind w:left="0" w:right="0"/>
        <w:jc w:val="left"/>
      </w:pPr>
      <w:r>
        <w:rPr>
          <w:color w:val="000000"/>
          <w:sz w:val="24"/>
          <w:szCs w:val="24"/>
        </w:rPr>
        <w:t xml:space="preserve">The aim of the research was to analyze the ownership structure of leading Hungarian companies.</w:t>
      </w:r>
      <w:r>
        <w:rPr>
          <w:color w:val="000000"/>
          <w:sz w:val="24"/>
          <w:szCs w:val="24"/>
        </w:rPr>
        <w:br/>
        <w:t xml:space="preserve">The analysis examined the shares of the most significant Hungarian companies identified based on the reports of the Budapest Stock Exchange, including OTP, MOL, Richter, Telekom, and 4iG. Among the study's hypotheses, it was proposed that the proportion of institutional investors increases over time and that these institutional investors form a homogeneous group, making no differentiation between shares in their investment decisions.</w:t>
      </w:r>
    </w:p>
    <w:p>
      <w:pPr>
        <w:widowControl w:val="on"/>
        <w:pBdr/>
        <w:spacing w:before="240" w:after="240" w:line="240" w:lineRule="auto"/>
        <w:ind w:left="0" w:right="0"/>
        <w:jc w:val="left"/>
      </w:pPr>
      <w:r>
        <w:rPr>
          <w:color w:val="000000"/>
          <w:sz w:val="24"/>
          <w:szCs w:val="24"/>
        </w:rPr>
        <w:t xml:space="preserve">However, the results did not support this second hypothesis and showed that institutional investors behave differently for each share. Additionally, the research explored the potential effects of the Covid-19 pandemic and the Russia-Ukraine war on the examined shares.</w:t>
      </w:r>
    </w:p>
    <w:p>
      <w:pPr>
        <w:widowControl w:val="on"/>
        <w:pBdr/>
        <w:spacing w:before="240" w:after="240" w:line="240" w:lineRule="auto"/>
        <w:ind w:left="0" w:right="0"/>
        <w:jc w:val="left"/>
      </w:pPr>
      <w:r>
        <w:rPr>
          <w:color w:val="000000"/>
          <w:sz w:val="24"/>
          <w:szCs w:val="24"/>
        </w:rPr>
        <w:t xml:space="preserve">In conclusion, it can be stated that the ownership structure of Hungary's leading companies is complex, and institutional investors play an increasingly significant role in the stock market. The findings can be valuable for corporate leaders seeking to understand ownership structures and investor expectations for better responses, as well as for policymakers working on developing the Hungarian stock market, helping them establish more efficient and successful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66527">
    <w:multiLevelType w:val="hybridMultilevel"/>
    <w:lvl w:ilvl="0" w:tplc="948192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66527">
    <w:abstractNumId w:val="255665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5239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