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PETER KANYARI</w:t>
            </w:r>
          </w:p>
          <w:p w:rsidR="00C275A3" w:rsidRDefault="00CA6B74" w:rsidP="00C275A3">
            <w:pPr>
              <w:pStyle w:val="Hallgatokepzes"/>
            </w:pPr>
            <w:r w:rsidRPr="001067CD">
              <w:rPr>
                <w:i/>
              </w:rPr>
              <w:t>bkanyari@gmail.com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Oliver Nagy</w:t>
            </w:r>
          </w:p>
          <w:p w:rsidR="00DB4822" w:rsidRDefault="00DB4822" w:rsidP="00BA6BAF">
            <w:pPr>
              <w:pStyle w:val="Konzulensektitulus"/>
            </w:pPr>
            <w:r w:rsidRPr="00DB4822">
              <w:t>assistant lecturer,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firm characteristics in explaining stock returns for different industries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IPCA; factor model; importance of firm characteristics; industries</w:t>
      </w:r>
      <w:r>
        <w:t xml:space="preserve"/>
      </w:r>
    </w:p>
    <w:p>
      <w:pPr>
        <w:widowControl w:val="on"/>
        <w:pBdr/>
        <w:spacing w:before="240" w:after="240" w:line="240" w:lineRule="auto"/>
        <w:ind w:left="0" w:right="0"/>
        <w:jc w:val="left"/>
      </w:pPr>
      <w:r>
        <w:rPr>
          <w:color w:val="000000"/>
          <w:sz w:val="24"/>
          <w:szCs w:val="24"/>
        </w:rPr>
        <w:t xml:space="preserve">This paper examines whether different firm characteristics drive asset prices in various industries in the US stock market. The study uses the Instrumented Principal Component Analysis (IPCA), which utilizes observable firm characteristics as instruments to estimate latent factor loadings. The IPCA is estimated separately for each industry group, and its performance is analyzed. The paper also determines the importance of firm characteristics in explaining stock returns in each industry group. The data set used in the analysis includes 12,813 firms across 11 industry groups from July 1962 to May 2014 and consists of 36 distinct firm characteristics. The study finds that estimating IPCA by industry groups improves its ability to describe the common variation of returns, confirming the homogeneity of stocks within the same industry. However, it demonstrates varying effectiveness in explaining the differences in average returns. The research highlights the importance of market capitalization and total assets across all industries but also demonstrates that the importance of other firm characteristics varies across different industry groups. Overall, the findings emphasize the role of industry context in asset pricing and contribute to a better understanding of how firm characteristics influence expected returns.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51940">
    <w:multiLevelType w:val="hybridMultilevel"/>
    <w:lvl w:ilvl="0" w:tplc="46399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51940">
    <w:abstractNumId w:val="44151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863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