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TILL</w:t>
            </w:r>
          </w:p>
          <w:p w:rsidR="00C275A3" w:rsidRDefault="00CA6B74" w:rsidP="00C275A3">
            <w:pPr>
              <w:pStyle w:val="Hallgatokepzes"/>
            </w:pPr>
            <w:r w:rsidRPr="001067CD">
              <w:rPr>
                <w:i/>
              </w:rPr>
              <w:t>gabort.255@gmail.com</w:t>
            </w:r>
            <w:r w:rsidRPr="001067CD">
              <w:rPr>
                <w:i/>
              </w:rPr>
              <w:br/>
            </w:r>
            <w:r w:rsidR="00A96AEC">
              <w:t>International Economics and Management</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Gabor Neszveda Phd</w:t>
            </w:r>
          </w:p>
          <w:p w:rsidR="00DB4822" w:rsidRDefault="00DB4822" w:rsidP="00BA6BAF">
            <w:pPr>
              <w:pStyle w:val="Konzulensektitulus"/>
            </w:pPr>
            <w:r w:rsidRPr="00DB4822">
              <w:t>Associate Professor, Head of Department of the Hungarian National Bank, NJE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Momentum Trading Strategies in the Face of Information Uncertainty: Evidence from the Hungarian Stock Exchange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momentum trading strategy, information uncertainty, Budapest Stock Exchange</w:t>
      </w:r>
      <w:r>
        <w:t xml:space="preserve"/>
      </w:r>
    </w:p>
    <w:p>
      <w:pPr>
        <w:widowControl w:val="on"/>
        <w:pBdr/>
        <w:spacing w:before="240" w:after="240" w:line="240" w:lineRule="auto"/>
        <w:ind w:left="0" w:right="0"/>
        <w:jc w:val="left"/>
      </w:pPr>
      <w:r>
        <w:rPr>
          <w:color w:val="000000"/>
          <w:sz w:val="24"/>
          <w:szCs w:val="24"/>
        </w:rPr>
        <w:t xml:space="preserve">This paper contributes to the literature on the cross-section of expected stock returns, focusing on the empirical testing of various momentum trading strategies and investigating the drivers of the momentum phenomenon. The study examines the profitability of the momentum strategy over both the short and long term on the Budapest Stock Exchange, i.e. whether the historical performance of stocks can significantly predict future stock returns. To test these hypotheses, the study combines portfolio-level univariate sorting with stock-level Fama-MacBeth regressions, both of which confirm the existence of momentum abnormal returns on the Budapest Stock Exchange. The author explores the impact of information uncertainty on the momentum abnormal returns by employing five idiosyncratic factors. The findings provide robust support for the hypothesis, revealing a positive relationship between momentum returns and information uncertainty, as abnormal returns are higher among companies characterized by smaller market capitalization, higher historical volatility, greater dispersion in analysts' EPS expectations, and limited financial analyst coverage.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77286">
    <w:multiLevelType w:val="hybridMultilevel"/>
    <w:lvl w:ilvl="0" w:tplc="63888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77286">
    <w:abstractNumId w:val="973772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5728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