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KRISZTIÁN</w:t>
            </w:r>
          </w:p>
          <w:p w:rsidR="00C275A3" w:rsidRDefault="00CA6B74" w:rsidP="00C275A3">
            <w:pPr>
              <w:pStyle w:val="Hallgatokepzes"/>
            </w:pPr>
            <w:r w:rsidRPr="001067CD">
              <w:rPr>
                <w:i/>
              </w:rPr>
              <w:t>simonkrisztian04@gmail.com</w:t>
            </w:r>
            <w:r w:rsidRPr="001067CD">
              <w:rPr>
                <w:i/>
              </w:rPr>
              <w:br/>
            </w:r>
            <w:r w:rsidR="00A96AEC">
              <w:t>Jogtudomány</w:t>
            </w:r>
            <w:r w:rsidR="00A96AEC">
              <w:br/>
            </w:r>
            <w:r w:rsidR="00E77B23">
              <w:t>BA, 3.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Gellért</w:t>
            </w:r>
          </w:p>
          <w:p w:rsidR="00DB4822" w:rsidRDefault="00DB4822" w:rsidP="00BA6BAF">
            <w:pPr>
              <w:pStyle w:val="Konzulensektitulus"/>
            </w:pPr>
            <w:r w:rsidRPr="00DB4822">
              <w:t>megbízott oktató, RO EMTE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román Alkotmánybíróság esetgyakorlata az európai szupranacionális bíróságokkal való kapcsolata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alkotmányos párbeszéd; előzetes döntéshozatali eljárás; jogértelmezés; jogegységesítés; alkotmányos normakontroll</w:t>
      </w:r>
      <w:r>
        <w:t xml:space="preserve"/>
      </w:r>
    </w:p>
    <w:p>
      <w:pPr>
        <w:widowControl w:val="on"/>
        <w:pBdr/>
        <w:spacing w:before="240" w:after="240" w:line="240" w:lineRule="auto"/>
        <w:ind w:left="0" w:right="0"/>
        <w:jc w:val="left"/>
      </w:pPr>
      <w:r>
        <w:rPr>
          <w:color w:val="000000"/>
          <w:sz w:val="24"/>
          <w:szCs w:val="24"/>
        </w:rPr>
        <w:t xml:space="preserve">A tanulmányom első részében célom megvizsgálni, hogy Romániában a 2001. évi 2. egyszerű kormányrendelet ellen felhozott alkotmányossági kérdésekben milyen mértékben és hogyan érvényesülnek az Alkotmánybíróság döntéseiben az Emberi Jogok Európai Bíróságának (a továbbiakban: EJEB) határozatai és hogy a két intézmény kapcsolata hogyan és milyen mértékben befolyásolja a román Alkotmánybíróság munkájában.</w:t>
      </w:r>
    </w:p>
    <w:p>
      <w:pPr>
        <w:widowControl w:val="on"/>
        <w:pBdr/>
        <w:spacing w:before="240" w:after="240" w:line="240" w:lineRule="auto"/>
        <w:ind w:left="0" w:right="0"/>
        <w:jc w:val="left"/>
      </w:pPr>
      <w:r>
        <w:rPr>
          <w:color w:val="000000"/>
          <w:sz w:val="24"/>
          <w:szCs w:val="24"/>
        </w:rPr>
        <w:t xml:space="preserve">A dolgozatom második részében a román Alkotmánybíróság Európai Unió Bírósága (a továbbiakban: EUB) által felkínált előzetes döntéshozatali eljáráshoz való viszonyulását és ennek Európai Unióhoz való csatlakozás óta történő változásait vizsgálom. E részben kiemelt hangsúlyt fektetve az Alkotmánybíróság meglehetősen ellentmondásos előzetes döntéshozatali eljárásra vonatkozó esetgyakorlatából eredő két intézmény közötti kapcsolatra és annak román jogrendrendszere való hatására.</w:t>
      </w:r>
    </w:p>
    <w:p>
      <w:pPr>
        <w:widowControl w:val="on"/>
        <w:pBdr/>
        <w:spacing w:before="240" w:after="240" w:line="240" w:lineRule="auto"/>
        <w:ind w:left="0" w:right="0"/>
        <w:jc w:val="left"/>
      </w:pPr>
      <w:r>
        <w:rPr>
          <w:color w:val="000000"/>
          <w:sz w:val="24"/>
          <w:szCs w:val="24"/>
        </w:rPr>
        <w:t xml:space="preserve">Ahogyan azt a tanulmányomban részletesebben kifejtettem, megfigyelhető egy ambivalencia a román Alkotmánybíróság két intézmény közötti kapcsolatában. Míg az EJEB-el harmonikus, alkotmányos párbeszédre törekvő kapcsolatot ápol, addig az EUB-vel szemben elutasító és hatáskört megkérdőjelező álláspontot képvisel.</w:t>
      </w:r>
    </w:p>
    <w:p>
      <w:pPr>
        <w:widowControl w:val="on"/>
        <w:pBdr/>
        <w:spacing w:before="240" w:after="240" w:line="240" w:lineRule="auto"/>
        <w:ind w:left="0" w:right="0"/>
        <w:jc w:val="left"/>
      </w:pPr>
      <w:r>
        <w:rPr>
          <w:color w:val="000000"/>
          <w:sz w:val="24"/>
          <w:szCs w:val="24"/>
        </w:rPr>
        <w:t xml:space="preserve">Természetesen mindkét végletnek megvannak a maga következményei a román jogrendszerben. Ilyenek például az EJEB esetgyakorlatának köszönhetően fellépő alkotmányjogi változások, a következetes jogalkotás vagy éppen a szabálysértések román jogrendszerben elfoglalt helyének tisztázása, amelyre egy lege ferenda javaslatot is a tanulmányomba foglaltam.</w:t>
      </w:r>
    </w:p>
    <w:p>
      <w:pPr>
        <w:widowControl w:val="on"/>
        <w:pBdr/>
        <w:spacing w:before="240" w:after="240" w:line="240" w:lineRule="auto"/>
        <w:ind w:left="0" w:right="0"/>
        <w:jc w:val="left"/>
      </w:pPr>
      <w:r>
        <w:rPr>
          <w:color w:val="000000"/>
          <w:sz w:val="24"/>
          <w:szCs w:val="24"/>
        </w:rPr>
        <w:t xml:space="preserve">Ezzel szemben, az EUB-vel való kapcsolatából adódóan kérdések merülnek fel az Alkotmánybíróság európai integráció érdekében történő jogegységesítésben vállalt szerepéről, ugyanis nem egyértelmű az Európai Uniós jog elsőbbségének alapelvének betartása. Ezen probléma okaira, valamint jövőbeli hatásaira keresem a választ a kutatásom második részében.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32092">
    <w:multiLevelType w:val="hybridMultilevel"/>
    <w:lvl w:ilvl="0" w:tplc="47380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32092">
    <w:abstractNumId w:val="54432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672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