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DAVID-JOZSEF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david.vass@stud.ubbcluj.ro</w:t>
            </w:r>
            <w:r w:rsidRPr="001067CD">
              <w:rPr>
                <w:i/>
              </w:rPr>
              <w:br/>
            </w:r>
            <w:r w:rsidR="00A96AEC">
              <w:t>Korszerű eljárások a kémiai szintézisben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Szimmetrikus kurkumin analógok BF2-komplexeinek a fotofizikai és antibakteriális tulajdonságainak a tanulmányozása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kurkuminok; antibakteriális hatás; BF2-komplexek; DFT; szolvatokrómia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kutatásunk során különböző szubsztituensekkel szimmetrikus kurkumin analógok BF2-komplexeit állítottuk elő, majd tanulmányoztuk ezek fotofizikai és antibakteriális hatását kísérleti úton, ezen felül kvantumkémiai számításokkal (DFT és TD-DFT elméletek felhasználásával) támasztottuk alá a mért UV-Vis és fluoreszcenciás adatokat. A szubsztituensek elektron küldő effektusa a HOMO és a LUMO pályák energiájára gyakorolt hatást, viszont a HOMO pályákét nagyobb mértékben befolyásolta, így pedig megváltoztatta a vertikális gerjesztési energiát. A szubsztituensek helyzetének hatása a teljes molekulára kiterjedő konjugációban történő részvétellel magyarázható: elsősorban, a szubsztituensek csak o- és p helyzetben vehetnek részt a konjugált rendszerben; másrészt, a heteroatom negatív induktív effektusa o-helyzetben sokkal erőteljesebb, mint p-helyzetben, ebből fakadóan, a p szubsztituált analógok kisebb gerjesztési energiával rendelkeznek, mint az o-, vagy m szubsztituáltak. A szolvatokrómia az oldószer-molekula kölcsönhatások erőssége szerint mutatkozott meg. Ezen kölcsönhatások csökkentették a LUMO pálya energiáját. A legnagyobb batokróm eltolódások poláros aprotikus oldószerben voltak, hatás, amelyért a vizsgált molekulák polaritása feltehetően a felelős. Ezt támasztja alá az a megfigyelés is, hogy a legnagyobb Stokes eltolódások DMSO-ban voltak megfigyelhetőek, ahogyan a legkisebbek toluolban, illetve metanolban</w:t>
      </w:r>
      <w:r>
        <w:rPr>
          <w:color w:val="000000"/>
          <w:position w:val="4"/>
          <w:sz w:val="21"/>
          <w:szCs w:val="21"/>
          <w:vertAlign w:val="superscript"/>
        </w:rPr>
        <w:t xml:space="preserve">1,2</w:t>
      </w:r>
      <w:r>
        <w:rPr>
          <w:color w:val="000000"/>
          <w:sz w:val="24"/>
          <w:szCs w:val="24"/>
        </w:rPr>
        <w:t xml:space="preserve">. Az antibakteriális mérések eredményei azt mutatják, hogy az előállított komplexek egy része jó biológiai aktivitással rendelkeznek. Ezen tulajdonságuk a vegyületek planáris szerkezetéből nagy stabilitásukból adódik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E. Gál, L. Cs. Nagy, Symmetry, 13, 2021.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2</w:t>
      </w:r>
      <w:r>
        <w:rPr>
          <w:color w:val="000000"/>
          <w:sz w:val="24"/>
          <w:szCs w:val="24"/>
        </w:rPr>
        <w:t xml:space="preserve">M. A. Obregón-Mendoza, W. Meza-Morales, Y. Alvarez-Ricardo, M. M. Estévez-Carmona, R. G.</w:t>
      </w:r>
      <w:r>
        <w:rPr>
          <w:color w:val="000000"/>
          <w:sz w:val="24"/>
          <w:szCs w:val="24"/>
        </w:rPr>
        <w:br/>
        <w:t xml:space="preserve">Enríquez, Molecules, 28, 2023.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3</w:t>
      </w:r>
      <w:r>
        <w:rPr>
          <w:color w:val="000000"/>
          <w:sz w:val="24"/>
          <w:szCs w:val="24"/>
        </w:rPr>
        <w:t xml:space="preserve">C.A. Semeniuc, C.R. Pop, A.M. Rotar, J. Food Drug Anal., 25, 2017.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82663">
    <w:multiLevelType w:val="hybridMultilevel"/>
    <w:lvl w:ilvl="0" w:tplc="80877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82663">
    <w:abstractNumId w:val="94082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768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