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KOVACS</w:t>
            </w:r>
          </w:p>
          <w:p w:rsidR="00C275A3" w:rsidRDefault="00CA6B74" w:rsidP="00C275A3">
            <w:pPr>
              <w:pStyle w:val="Hallgatokepzes"/>
            </w:pPr>
            <w:r w:rsidRPr="001067CD">
              <w:rPr>
                <w:i/>
              </w:rPr>
              <w:t>edina.kovacs1@stud.ubbcluj.ro</w:t>
            </w:r>
            <w:r w:rsidRPr="001067CD">
              <w:rPr>
                <w:i/>
              </w:rPr>
              <w:br/>
            </w:r>
            <w:r w:rsidR="00A96AEC">
              <w:t>Finance and Banking</w:t>
            </w:r>
            <w:r w:rsidR="00A96AEC">
              <w:br/>
            </w:r>
            <w:r w:rsidR="00E77B23">
              <w:t>BA, 5.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Botond Benedek</w:t>
            </w:r>
          </w:p>
          <w:p w:rsidR="00DB4822" w:rsidRDefault="00DB4822" w:rsidP="00BA6BAF">
            <w:pPr>
              <w:pStyle w:val="Konzulensektitulus"/>
            </w:pPr>
            <w:r w:rsidRPr="00DB4822">
              <w:t>PhD, assistant professor,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Factors affecting cryptocurrency returns during different market conditions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bitcoin, crypto currencies, structural breaks</w:t>
      </w:r>
      <w:r>
        <w:t xml:space="preserve"/>
      </w:r>
    </w:p>
    <w:p>
      <w:pPr>
        <w:widowControl w:val="on"/>
        <w:pBdr/>
        <w:spacing w:before="240" w:after="240" w:line="240" w:lineRule="auto"/>
        <w:ind w:left="0" w:right="0"/>
        <w:jc w:val="left"/>
      </w:pPr>
      <w:r>
        <w:rPr>
          <w:color w:val="000000"/>
          <w:sz w:val="24"/>
          <w:szCs w:val="24"/>
        </w:rPr>
        <w:t xml:space="preserve">In recent years, there has been a growing interest in cryptocurrencies, especially bitcoin, among financial professionals, the media, regulators and investors. This is not surprising, as it went from $13 in 2013 to $42 000 by the end of 2023. The current research examines the sensitivity of bitcoin, ethereum and binance returns to various factors between 1 January 2018 and 31 December 2023. These factors are the gold and capital market returns, the volatility index, Amihud’s illiquidity index and the number of searches for bitcoin as measured by google trend. The research used Ordinary Least Square (OLS) for three different sub-periods, taking into account the structural breakpoints identified by the Bai-Perron test. Based on the results, the examined factors have different influencing power in different periods. In the first period, when the crypto market is relatively stable, the returns of the cryptocurrencies under study are mainly influenced by gold and the volatility index. In the second period, when the market is in turbulence, the number of searches for bitcoin and the capital market returns are the most important factors, while in the third period, during a market downturn, the capital market returns becomes the most influential.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34978">
    <w:multiLevelType w:val="hybridMultilevel"/>
    <w:lvl w:ilvl="0" w:tplc="19833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34978">
    <w:abstractNumId w:val="699349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5364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