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lazarbotond02@gmail.com</w:t>
            </w:r>
            <w:r w:rsidRPr="001067CD">
              <w:rPr>
                <w:i/>
              </w:rPr>
              <w:br/>
            </w:r>
            <w:r w:rsidR="00A96AEC">
              <w:t>Pénzügy és bank (magyar nyelven)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Székely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Dézsi-Benyovszki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C-FRSI hatása az államháztartás elsődleges egyenlegére az Európai Unió országaiban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Államháztartás; költségvetési szabály; C-FRSI;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arra a gazdaságpolitikai kérdésre keresi a választ, hogy milyen eredményességgel működnek a költségvetési szabályok az EU államaiban. A szakirodalom szerint a költségvetéspolitikai szabályok több szempontból is eltérők lehetnek, úgy mint: a szabály természete, jogi kerete vagy az államháztartás lefedett része. Az Európai Bizottság által kidolgozott</w:t>
      </w:r>
      <w:r>
        <w:rPr>
          <w:color w:val="000000"/>
          <w:sz w:val="24"/>
          <w:szCs w:val="24"/>
        </w:rPr>
        <w:br/>
        <w:t xml:space="preserve">Fiscal Rule Index (FRI) módszertana az előbbi aspektusokat figyelembe véve helyezi az uniós tagállamok költségvetéspolitikai szabályait egy mérési keretbe. A 2009-2019-es időszakra és az Európai Unió országaira vonatkozóan panelregresszió segítségével elemzem, hogy a fiskális szabályok milyen hatással vannak az államháztartások elsődleges egyenlegeire.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23000">
    <w:multiLevelType w:val="hybridMultilevel"/>
    <w:lvl w:ilvl="0" w:tplc="91574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23000">
    <w:abstractNumId w:val="522230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091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