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LÁZÁR</w:t>
            </w:r>
          </w:p>
          <w:p w:rsidR="00C275A3" w:rsidRDefault="00CA6B74" w:rsidP="00C275A3">
            <w:pPr>
              <w:pStyle w:val="Hallgatokepzes"/>
            </w:pPr>
            <w:r w:rsidRPr="001067CD">
              <w:rPr>
                <w:i/>
              </w:rPr>
              <w:t>lazarbotond02@gmail.com</w:t>
            </w:r>
            <w:r w:rsidRPr="001067CD">
              <w:rPr>
                <w:i/>
              </w:rPr>
              <w:br/>
            </w:r>
            <w:r w:rsidR="00A96AEC">
              <w:t>Finance and banking (in hungarian)</w:t>
            </w:r>
            <w:r w:rsidR="00A96AEC">
              <w:br/>
            </w:r>
            <w:r w:rsidR="00E77B23">
              <w:t>BSc,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Imre Székely PhD</w:t>
            </w:r>
          </w:p>
          <w:p w:rsidR="00DB4822" w:rsidRDefault="00DB4822" w:rsidP="00BA6BAF">
            <w:pPr>
              <w:pStyle w:val="Konzulensektitulus"/>
            </w:pPr>
            <w:r w:rsidRPr="00DB4822">
              <w:t>assistant professor, RO BBTE</w:t>
            </w:r>
          </w:p>
        </w:tc>
      </w:tr>
      <w:tr w:rsidR="00DB4822" w:rsidTr="00DB4822">
        <w:tc>
          <w:tcPr>
            <w:tcW w:w="9854" w:type="dxa"/>
          </w:tcPr>
          <w:p w:rsidR="00DB4822" w:rsidRPr="00DB4822" w:rsidRDefault="00DB4822" w:rsidP="00BA6BAF">
            <w:pPr>
              <w:pStyle w:val="Konzulenseknev"/>
            </w:pPr>
            <w:r w:rsidRPr="00DB4822">
              <w:t>Annamária Dézsi-Benyovszki PhD</w:t>
            </w:r>
          </w:p>
          <w:p w:rsidR="00DB4822" w:rsidRDefault="00DB4822" w:rsidP="00BA6BAF">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C-FRSI on the general government primary balance in EU member states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General government; fiscal policy rules; C-FRSI;</w:t>
      </w:r>
      <w:r>
        <w:t xml:space="preserve"/>
      </w:r>
    </w:p>
    <w:p>
      <w:pPr>
        <w:widowControl w:val="on"/>
        <w:pBdr/>
        <w:spacing w:before="240" w:after="240" w:line="240" w:lineRule="auto"/>
        <w:ind w:left="0" w:right="0"/>
        <w:jc w:val="left"/>
      </w:pPr>
      <w:r>
        <w:rPr>
          <w:color w:val="000000"/>
          <w:sz w:val="24"/>
          <w:szCs w:val="24"/>
        </w:rPr>
        <w:t xml:space="preserve">The research seeks to answer the economic policy question of how effectively fiscal rules work in EU countries. The literature suggests that fiscal rules may differ in several aspects, such as the nature of the rule, its legal framework or the part of public finances covered.</w:t>
      </w:r>
      <w:r>
        <w:rPr>
          <w:color w:val="000000"/>
          <w:sz w:val="24"/>
          <w:szCs w:val="24"/>
        </w:rPr>
        <w:br/>
        <w:t xml:space="preserve">The methodology of the Fiscal Rule Index (FRI) developed by the European Commission puts the fiscal rules of the EU Member States into a measurement framework, taking into account the above aspects. I use panel regression to analyse the impact of fiscal rules on the primary balances of general government over the period 2009-2019 and for EU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99016">
    <w:multiLevelType w:val="hybridMultilevel"/>
    <w:lvl w:ilvl="0" w:tplc="8670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99016">
    <w:abstractNumId w:val="34399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525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