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sitpunk7@gmail.com</w:t>
            </w:r>
            <w:r w:rsidRPr="001067CD">
              <w:rPr>
                <w:i/>
              </w:rPr>
              <w:br/>
            </w:r>
            <w:r w:rsidR="00A96AEC">
              <w:t>Magyar nyelv- és irodalomtudományi magiszteri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Berszán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működésimmanenciától az új filológiáig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működésimmanencia; lét(mód); kritikosz; ünnep; filosz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posztkritikai irodalomelmélet-írás lehetőségeit kutatva, arra teszek kísérletet, hogy</w:t>
      </w:r>
      <w:r>
        <w:rPr>
          <w:color w:val="000000"/>
          <w:sz w:val="24"/>
          <w:szCs w:val="24"/>
        </w:rPr>
        <w:br/>
        <w:t xml:space="preserve">Graham Harman nyomán ontológiai keretben továbbgondoljam Berszán István</w:t>
      </w:r>
      <w:r>
        <w:rPr>
          <w:color w:val="000000"/>
          <w:sz w:val="24"/>
          <w:szCs w:val="24"/>
        </w:rPr>
        <w:br/>
        <w:t xml:space="preserve">működésimmanenciáról alkotott fogalmát. Alapvető felismeréseim között szerepel, hogy (1) a</w:t>
      </w:r>
      <w:r>
        <w:rPr>
          <w:color w:val="000000"/>
          <w:sz w:val="24"/>
          <w:szCs w:val="24"/>
        </w:rPr>
        <w:br/>
        <w:t xml:space="preserve">működésimmanens szemlélet eleve eldönti az artisztikus objektumok létmódját annak a</w:t>
      </w:r>
      <w:r>
        <w:rPr>
          <w:color w:val="000000"/>
          <w:sz w:val="24"/>
          <w:szCs w:val="24"/>
        </w:rPr>
        <w:br/>
        <w:t xml:space="preserve">specifikus környezetnek a működésszerveződése alapján, amelyen az adott objektum fellép;</w:t>
      </w:r>
      <w:r>
        <w:rPr>
          <w:color w:val="000000"/>
          <w:sz w:val="24"/>
          <w:szCs w:val="24"/>
        </w:rPr>
        <w:br/>
        <w:t xml:space="preserve">illetve hogy (2) ezen döntés egy markáns kritikai pozícióval van szoros összefüggésben. A</w:t>
      </w:r>
      <w:r>
        <w:rPr>
          <w:color w:val="000000"/>
          <w:sz w:val="24"/>
          <w:szCs w:val="24"/>
        </w:rPr>
        <w:br/>
        <w:t xml:space="preserve">működésimmanencia szerint a műalkotás úgy van, ahogyan a Max Black-i értelemben vett</w:t>
      </w:r>
      <w:r>
        <w:rPr>
          <w:color w:val="000000"/>
          <w:sz w:val="24"/>
          <w:szCs w:val="24"/>
        </w:rPr>
        <w:br/>
        <w:t xml:space="preserve">egzisztenciális állítás kijelenti, hogy van. Innen pedig nincs – és nem is lehet – semmiféle</w:t>
      </w:r>
      <w:r>
        <w:rPr>
          <w:color w:val="000000"/>
          <w:sz w:val="24"/>
          <w:szCs w:val="24"/>
        </w:rPr>
        <w:br/>
        <w:t xml:space="preserve">további, hitelt érdemlő állítás: az egzisztenciális állítás vonatkozásában a műalkotás az a létező,</w:t>
      </w:r>
      <w:r>
        <w:rPr>
          <w:color w:val="000000"/>
          <w:sz w:val="24"/>
          <w:szCs w:val="24"/>
        </w:rPr>
        <w:br/>
        <w:t xml:space="preserve">amely sosem a környező működésszerveződéshez képesti valószerűtlenségében áll, hanem</w:t>
      </w:r>
      <w:r>
        <w:rPr>
          <w:color w:val="000000"/>
          <w:sz w:val="24"/>
          <w:szCs w:val="24"/>
        </w:rPr>
        <w:br/>
        <w:t xml:space="preserve">amely csakis működésszerveződő teljesítményében válhat a kutatás tárgyává. Vagyis a</w:t>
      </w:r>
      <w:r>
        <w:rPr>
          <w:color w:val="000000"/>
          <w:sz w:val="24"/>
          <w:szCs w:val="24"/>
        </w:rPr>
        <w:br/>
        <w:t xml:space="preserve">működésimmanens szemléletből származó, nemegyszer intranzigens kritika értelmében a</w:t>
      </w:r>
      <w:r>
        <w:rPr>
          <w:color w:val="000000"/>
          <w:sz w:val="24"/>
          <w:szCs w:val="24"/>
        </w:rPr>
        <w:br/>
        <w:t xml:space="preserve">környező működésszerveződés vonatkozásában értett műlét mint műlétmód maradéktalanul</w:t>
      </w:r>
      <w:r>
        <w:rPr>
          <w:color w:val="000000"/>
          <w:sz w:val="24"/>
          <w:szCs w:val="24"/>
        </w:rPr>
        <w:br/>
        <w:t xml:space="preserve">szimmetrikus a mű létével. Egy ilyetén szimmetria tételezése pedig olyan kritikai</w:t>
      </w:r>
      <w:r>
        <w:rPr>
          <w:color w:val="000000"/>
          <w:sz w:val="24"/>
          <w:szCs w:val="24"/>
        </w:rPr>
        <w:br/>
        <w:t xml:space="preserve">apparátusokat alakít ki, amelyek a lehetőségfeltételek és a kondicionáltságok biztos</w:t>
      </w:r>
      <w:r>
        <w:rPr>
          <w:color w:val="000000"/>
          <w:sz w:val="24"/>
          <w:szCs w:val="24"/>
        </w:rPr>
        <w:br/>
        <w:t xml:space="preserve">ismerőiként operálnak; amelyek kizárólag a környező működésszerveződésen belüli</w:t>
      </w:r>
      <w:r>
        <w:rPr>
          <w:color w:val="000000"/>
          <w:sz w:val="24"/>
          <w:szCs w:val="24"/>
        </w:rPr>
        <w:br/>
        <w:t xml:space="preserve">megképzettségnek és megképződésnek tulajdonítanak hitelt; amelyek mindenkor készek</w:t>
      </w:r>
      <w:r>
        <w:rPr>
          <w:color w:val="000000"/>
          <w:sz w:val="24"/>
          <w:szCs w:val="24"/>
        </w:rPr>
        <w:br/>
        <w:t xml:space="preserve">„leleplezni” bármely objektum „cinkosságát” a létmód-meghatározó modalitásokkal – amelyek</w:t>
      </w:r>
      <w:r>
        <w:rPr>
          <w:color w:val="000000"/>
          <w:sz w:val="24"/>
          <w:szCs w:val="24"/>
        </w:rPr>
        <w:br/>
        <w:t xml:space="preserve">tehát egyszóval stabil és átfogó kritikai tudás birtokában vannak. Ezért nem tűnik számomra</w:t>
      </w:r>
      <w:r>
        <w:rPr>
          <w:color w:val="000000"/>
          <w:sz w:val="24"/>
          <w:szCs w:val="24"/>
        </w:rPr>
        <w:br/>
        <w:t xml:space="preserve">elrugaszkodottnak azt állítani, hogy hamarabb hatja át a művészettel – szűkebben: az</w:t>
      </w:r>
      <w:r>
        <w:rPr>
          <w:color w:val="000000"/>
          <w:sz w:val="24"/>
          <w:szCs w:val="24"/>
        </w:rPr>
        <w:br/>
        <w:t xml:space="preserve">irodalommal – szembeni szakmai magatartásunkat a κριτικός-i, mint a φίλος-i érzület.</w:t>
      </w:r>
      <w:r>
        <w:rPr>
          <w:color w:val="000000"/>
          <w:sz w:val="24"/>
          <w:szCs w:val="24"/>
        </w:rPr>
        <w:br/>
        <w:t xml:space="preserve">Javaslatom a működésimmanencia ezen foglalatszerű öntételezését kívánja ellensúlyozni a</w:t>
      </w:r>
      <w:r>
        <w:rPr>
          <w:color w:val="000000"/>
          <w:sz w:val="24"/>
          <w:szCs w:val="24"/>
        </w:rPr>
        <w:br/>
        <w:t xml:space="preserve">műlét és a műlétmód közötti lehetséges aszimmetria felmutatásával, ezáltal pedig a φίλος-i</w:t>
      </w:r>
      <w:r>
        <w:rPr>
          <w:color w:val="000000"/>
          <w:sz w:val="24"/>
          <w:szCs w:val="24"/>
        </w:rPr>
        <w:br/>
        <w:t xml:space="preserve">magatartás mint a műalkotás létének kritikai tudássá vissza-nem-bomló hívásában való benne</w:t>
      </w:r>
      <w:r>
        <w:rPr>
          <w:color w:val="000000"/>
          <w:sz w:val="24"/>
          <w:szCs w:val="24"/>
        </w:rPr>
        <w:br/>
        <w:t xml:space="preserve">tartózkodás bevezetésével. Érvelésem szerint a κριτικός-i alaphangoltság fogalmisága nincs arra hangolva, hogy elmondhassuk, miért szeretjük a</w:t>
      </w:r>
      <w:r>
        <w:rPr>
          <w:color w:val="000000"/>
          <w:sz w:val="24"/>
          <w:szCs w:val="24"/>
        </w:rPr>
        <w:br/>
        <w:t xml:space="preserve">műalkotásokat, és hogy miért érintenek meg úgy bennünket, ahogy megérintenek.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95008">
    <w:multiLevelType w:val="hybridMultilevel"/>
    <w:lvl w:ilvl="0" w:tplc="66181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95008">
    <w:abstractNumId w:val="84395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124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