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PATAKI PÉTER GERGELY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pitegeri@gmail.com</w:t>
            </w:r>
            <w:r w:rsidRPr="001067CD">
              <w:rPr>
                <w:i/>
              </w:rPr>
              <w:br/>
            </w:r>
            <w:r w:rsidR="00A96AEC">
              <w:t>Gazdaságinformatika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Vidékfejlesztés és Fenntartható Gazdaság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Zörög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MATE-VFGI,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kriptopénzek és azok kockázatainak megítélése a fiatal korosztály szemszögéből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kriptodeviza;veszély;árfolyamkockázat,Altcoin;CBCD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bemutattam a kriptoeszközök, azon belül is kifejezetten a kriptodevizák</w:t>
      </w:r>
      <w:r>
        <w:rPr>
          <w:color w:val="000000"/>
          <w:sz w:val="24"/>
          <w:szCs w:val="24"/>
        </w:rPr>
        <w:br/>
        <w:t xml:space="preserve">történetét, működési mechanizmusukat, a bennük rejlő kockázatokat és szabályozási</w:t>
      </w:r>
      <w:r>
        <w:rPr>
          <w:color w:val="000000"/>
          <w:sz w:val="24"/>
          <w:szCs w:val="24"/>
        </w:rPr>
        <w:br/>
        <w:t xml:space="preserve">aspektusaikat. Kérdőíves felmérés keretében vizsgáltam a fiatal korosztály befektetési</w:t>
      </w:r>
      <w:r>
        <w:rPr>
          <w:color w:val="000000"/>
          <w:sz w:val="24"/>
          <w:szCs w:val="24"/>
        </w:rPr>
        <w:br/>
        <w:t xml:space="preserve">szokásait, különös tekintettel a kriptopénzekhez való viszonyukra.</w:t>
      </w:r>
      <w:r>
        <w:rPr>
          <w:color w:val="000000"/>
          <w:sz w:val="24"/>
          <w:szCs w:val="24"/>
        </w:rPr>
        <w:br/>
        <w:t xml:space="preserve">Vizsgálataimat a 18 és 30 év közötti korosztályra terjesztettem ki. Két kérdőíves felmérést</w:t>
      </w:r>
      <w:r>
        <w:rPr>
          <w:color w:val="000000"/>
          <w:sz w:val="24"/>
          <w:szCs w:val="24"/>
        </w:rPr>
        <w:br/>
        <w:t xml:space="preserve">(2022 ősz végén és 2023 tavaszán) bonyolítottam le, online kérdőíves platform (Google</w:t>
      </w:r>
      <w:r>
        <w:rPr>
          <w:color w:val="000000"/>
          <w:sz w:val="24"/>
          <w:szCs w:val="24"/>
        </w:rPr>
        <w:br/>
        <w:t xml:space="preserve">Forms) segítségével. Az első kérdőívet 224-en töltötték ki, elsősorban felsőoktatásban tanuló</w:t>
      </w:r>
      <w:r>
        <w:rPr>
          <w:color w:val="000000"/>
          <w:sz w:val="24"/>
          <w:szCs w:val="24"/>
        </w:rPr>
        <w:br/>
        <w:t xml:space="preserve">hallgatók, illetve friss diplomások. A második felmérés ugyanerre a válaszadói körre terjedt</w:t>
      </w:r>
      <w:r>
        <w:rPr>
          <w:color w:val="000000"/>
          <w:sz w:val="24"/>
          <w:szCs w:val="24"/>
        </w:rPr>
        <w:br/>
        <w:t xml:space="preserve">ki.</w:t>
      </w:r>
      <w:r>
        <w:rPr>
          <w:color w:val="000000"/>
          <w:sz w:val="24"/>
          <w:szCs w:val="24"/>
        </w:rPr>
        <w:br/>
        <w:t xml:space="preserve">Az első kérdőíves felmérés eredményei közül kiemelendő, hogy a pénzügyi befektetéssel</w:t>
      </w:r>
      <w:r>
        <w:rPr>
          <w:color w:val="000000"/>
          <w:sz w:val="24"/>
          <w:szCs w:val="24"/>
        </w:rPr>
        <w:br/>
        <w:t xml:space="preserve">rendelkező válaszadók közül a legtöbben kriptopénz befektetésekkel rendelkeztek, amely</w:t>
      </w:r>
      <w:r>
        <w:rPr>
          <w:color w:val="000000"/>
          <w:sz w:val="24"/>
          <w:szCs w:val="24"/>
        </w:rPr>
        <w:br/>
        <w:t xml:space="preserve">lehetőségről elsősorban a közösségi médiából szereztek információt. A legismertebb</w:t>
      </w:r>
      <w:r>
        <w:rPr>
          <w:color w:val="000000"/>
          <w:sz w:val="24"/>
          <w:szCs w:val="24"/>
        </w:rPr>
        <w:br/>
        <w:t xml:space="preserve">kriptopénzek a Bitcoin, az Ethereum és a Dogecoin voltak a megkérdezettek körében. A</w:t>
      </w:r>
      <w:r>
        <w:rPr>
          <w:color w:val="000000"/>
          <w:sz w:val="24"/>
          <w:szCs w:val="24"/>
        </w:rPr>
        <w:br/>
        <w:t xml:space="preserve">befektetésben rejlő kockázatok közül az árfolyam kockázatot emelték ki, s a legtöbben</w:t>
      </w:r>
      <w:r>
        <w:rPr>
          <w:color w:val="000000"/>
          <w:sz w:val="24"/>
          <w:szCs w:val="24"/>
        </w:rPr>
        <w:br/>
        <w:t xml:space="preserve">nemzetközileg egységes szabályozást vártak el a kriptopénz piacokkal kapcsolatban. Közel 60</w:t>
      </w:r>
      <w:r>
        <w:rPr>
          <w:color w:val="000000"/>
          <w:sz w:val="24"/>
          <w:szCs w:val="24"/>
        </w:rPr>
        <w:br/>
        <w:t xml:space="preserve">százalékban a kriptopénzek népszerűségének további növekedését prognosztizálták a</w:t>
      </w:r>
      <w:r>
        <w:rPr>
          <w:color w:val="000000"/>
          <w:sz w:val="24"/>
          <w:szCs w:val="24"/>
        </w:rPr>
        <w:br/>
        <w:t xml:space="preserve">válaszadók.</w:t>
      </w:r>
      <w:r>
        <w:rPr>
          <w:color w:val="000000"/>
          <w:sz w:val="24"/>
          <w:szCs w:val="24"/>
        </w:rPr>
        <w:br/>
        <w:t xml:space="preserve">A két adatfelvételezés közötti időszak eseményei csak kis mértékben befolyásolták a</w:t>
      </w:r>
      <w:r>
        <w:rPr>
          <w:color w:val="000000"/>
          <w:sz w:val="24"/>
          <w:szCs w:val="24"/>
        </w:rPr>
        <w:br/>
        <w:t xml:space="preserve">válaszadók befektetési attitüdjeit. A kriptopénzek a befektetési termékek „népszerűségi</w:t>
      </w:r>
      <w:r>
        <w:rPr>
          <w:color w:val="000000"/>
          <w:sz w:val="24"/>
          <w:szCs w:val="24"/>
        </w:rPr>
        <w:br/>
        <w:t xml:space="preserve">listáján” az állampapírok és a részvények mögé szorultak. A stablecoinok ismertsége némileg</w:t>
      </w:r>
      <w:r>
        <w:rPr>
          <w:color w:val="000000"/>
          <w:sz w:val="24"/>
          <w:szCs w:val="24"/>
        </w:rPr>
        <w:br/>
        <w:t xml:space="preserve">növekedett. A kockázatokat kissé magasabbnak ítélték, főleg az újrabefektetési kockázatét. A</w:t>
      </w:r>
      <w:r>
        <w:rPr>
          <w:color w:val="000000"/>
          <w:sz w:val="24"/>
          <w:szCs w:val="24"/>
        </w:rPr>
        <w:br/>
        <w:t xml:space="preserve">két felmérés közötti nemzetközi események hatását ott lehetett leginkább „tetten érni”, hogy a</w:t>
      </w:r>
      <w:r>
        <w:rPr>
          <w:color w:val="000000"/>
          <w:sz w:val="24"/>
          <w:szCs w:val="24"/>
        </w:rPr>
        <w:br/>
        <w:t xml:space="preserve">piac szabályozottsága iránti igény nőtt. Dolgozatomban kitértem a kapott eredmények és a</w:t>
      </w:r>
      <w:r>
        <w:rPr>
          <w:color w:val="000000"/>
          <w:sz w:val="24"/>
          <w:szCs w:val="24"/>
        </w:rPr>
        <w:br/>
        <w:t xml:space="preserve">levont következtetések limitációira, s a jövőbeni további kutatási elképzeléseimre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67620">
    <w:multiLevelType w:val="hybridMultilevel"/>
    <w:lvl w:ilvl="0" w:tplc="296009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67620">
    <w:abstractNumId w:val="958676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38966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