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PETER PATAKI</w:t>
            </w:r>
          </w:p>
          <w:p w:rsidR="00C275A3" w:rsidRDefault="00CA6B74" w:rsidP="00C275A3">
            <w:pPr>
              <w:pStyle w:val="Hallgatokepzes"/>
            </w:pPr>
            <w:r w:rsidRPr="001067CD">
              <w:rPr>
                <w:i/>
              </w:rPr>
              <w:t>pitegeri@gmail.com</w:t>
            </w:r>
            <w:r w:rsidRPr="001067CD">
              <w:rPr>
                <w:i/>
              </w:rPr>
              <w:br/>
            </w:r>
            <w:r w:rsidR="00A96AEC">
              <w:t>Business Informatics</w:t>
            </w:r>
            <w:r w:rsidR="00A96AEC">
              <w:br/>
            </w:r>
            <w:r w:rsidR="00E77B23">
              <w:t>BA, 5. semester</w:t>
            </w:r>
          </w:p>
          <w:p w:rsidR="00C265CE" w:rsidRPr="009E5FF1" w:rsidRDefault="00E77B23" w:rsidP="00BA6BAF">
            <w:pPr>
              <w:pStyle w:val="Hallgatointezmeny-kar"/>
              <w:rPr>
                <w:b/>
                <w:caps/>
              </w:rPr>
            </w:pPr>
            <w:r>
              <w:t>Hungarian University of Agriculture and Life Sciences</w:t>
            </w:r>
            <w:r w:rsidR="00C275A3">
              <w:br/>
            </w:r>
            <w:r w:rsidR="00DB4822">
              <w:t>Institute of Rural Development and Sustainable Economy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Zoltan Zorog</w:t>
            </w:r>
          </w:p>
          <w:p w:rsidR="00DB4822" w:rsidRDefault="00DB4822" w:rsidP="00BA6BAF">
            <w:pPr>
              <w:pStyle w:val="Konzulensektitulus"/>
            </w:pPr>
            <w:r w:rsidRPr="00DB4822">
              <w:t>Associate Professor, MATE-VFGI,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Young people's perception of cryptocurrencies and their risks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cryptocurrency;risk;exchange rate risk,altcoin;CBCD</w:t>
      </w:r>
      <w:r>
        <w:t xml:space="preserve"/>
      </w:r>
    </w:p>
    <w:p>
      <w:pPr>
        <w:widowControl w:val="on"/>
        <w:pBdr/>
        <w:spacing w:before="240" w:after="240" w:line="240" w:lineRule="auto"/>
        <w:ind w:left="0" w:right="0"/>
        <w:jc w:val="left"/>
      </w:pPr>
      <w:r>
        <w:rPr>
          <w:color w:val="000000"/>
          <w:sz w:val="24"/>
          <w:szCs w:val="24"/>
        </w:rPr>
        <w:t xml:space="preserve">In my thesis, I presented the history of crypto assets, specifically cryptocurrencies, their operating mechanism, their inherent risks and regulatory aspects. In the framework of a questionnaire survey, I examined the investment habits of the young generation, with particular regard to their relationship to cryptocurrencies.</w:t>
      </w:r>
    </w:p>
    <w:p>
      <w:pPr>
        <w:widowControl w:val="on"/>
        <w:pBdr/>
        <w:spacing w:before="240" w:after="240" w:line="240" w:lineRule="auto"/>
        <w:ind w:left="0" w:right="0"/>
        <w:jc w:val="left"/>
      </w:pPr>
      <w:r>
        <w:rPr>
          <w:color w:val="000000"/>
          <w:sz w:val="24"/>
          <w:szCs w:val="24"/>
        </w:rPr>
        <w:t xml:space="preserve">I extended my research to the age group between 18 and 30. I conducted two questionnaire surveys (late autumn 2022 and spring 2023) using an online questionnaire platform (Google Forms).</w:t>
      </w:r>
    </w:p>
    <w:p>
      <w:pPr>
        <w:widowControl w:val="on"/>
        <w:pBdr/>
        <w:spacing w:before="240" w:after="240" w:line="240" w:lineRule="auto"/>
        <w:ind w:left="0" w:right="0"/>
        <w:jc w:val="left"/>
      </w:pPr>
      <w:r>
        <w:rPr>
          <w:color w:val="000000"/>
          <w:sz w:val="24"/>
          <w:szCs w:val="24"/>
        </w:rPr>
        <w:t xml:space="preserve">The first questionnaire was completed by 224 people, primarily students and recent graduates in higher education. The second survey covered the same group of respondents. It should be noted from the results of the first questionnaire survey that most of the respondents with financial investments had cryptocurrency investments, about which they primarily obtained information from social media. The most well-known cryptocurrencies among the respondents were Bitcoin, Ethereum and Dogecoin. Among the risks inherent in investing, the exchange rate risk was highlighted, and most of them expected internationally uniform regulation in relation to the cryptocurrency markets. Nearly 60% of respondents predicted a further increase in the popularity of cryptocurrencies. T</w:t>
      </w:r>
    </w:p>
    <w:p>
      <w:pPr>
        <w:widowControl w:val="on"/>
        <w:pBdr/>
        <w:spacing w:before="240" w:after="240" w:line="240" w:lineRule="auto"/>
        <w:ind w:left="0" w:right="0"/>
        <w:jc w:val="left"/>
      </w:pPr>
      <w:r>
        <w:rPr>
          <w:color w:val="000000"/>
          <w:sz w:val="24"/>
          <w:szCs w:val="24"/>
        </w:rPr>
        <w:t xml:space="preserve">he events of the period between the two surveys only slightly influenced the investment attitudes of the respondents. Cryptocurrencies fell behind government securities and shares on the “popularity list” of investment products. The popularity of stablecoins increased slightly. The risks were considered to be slightly higher, especially the risk of reinvestment. The impact of the international events between the two surveys could be “caught in the act” in the fact that the demand for market regulation increased. In my thesis, I discussed the limitations of the results obtained and the conclusions drawn, as well as my future research ideas.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66847">
    <w:multiLevelType w:val="hybridMultilevel"/>
    <w:lvl w:ilvl="0" w:tplc="20085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66847">
    <w:abstractNumId w:val="33066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874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