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VANDA GÁSPÁR</w:t>
            </w:r>
          </w:p>
          <w:p w:rsidR="00C275A3" w:rsidRDefault="00CA6B74" w:rsidP="00C275A3">
            <w:pPr>
              <w:pStyle w:val="Hallgatokepzes"/>
            </w:pPr>
            <w:r w:rsidRPr="001067CD">
              <w:rPr>
                <w:i/>
              </w:rPr>
              <w:t>gaspar.vanda.eva@gmail.com</w:t>
            </w:r>
            <w:r w:rsidRPr="001067CD">
              <w:rPr>
                <w:i/>
              </w:rPr>
              <w:br/>
            </w:r>
            <w:r w:rsidR="00A96AEC">
              <w:t>Tax and financial investigator</w:t>
            </w:r>
            <w:r w:rsidR="00A96AEC">
              <w:br/>
            </w:r>
            <w:r w:rsidR="00E77B23">
              <w:t>BA, 7.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Adrienn Magasvári, financial officer lieutenant colonel</w:t>
            </w:r>
          </w:p>
          <w:p w:rsidR="00DB4822" w:rsidRDefault="00DB4822" w:rsidP="00BA6BAF">
            <w:pPr>
              <w:pStyle w:val="Konzulensektitulus"/>
            </w:pPr>
            <w:r w:rsidRPr="00DB4822">
              <w:t> assistant professor, NKE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Renovation of the officer training system of the fiscal inspector - the service relationship of candidate officer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financial officer; legal relationship</w:t>
      </w:r>
      <w:r>
        <w:t xml:space="preserve"/>
      </w:r>
    </w:p>
    <w:p>
      <w:pPr>
        <w:widowControl w:val="on"/>
        <w:pBdr/>
        <w:spacing w:before="240" w:after="240" w:line="240" w:lineRule="auto"/>
        <w:ind w:left="0" w:right="0"/>
        <w:jc w:val="left"/>
      </w:pPr>
      <w:r>
        <w:rPr>
          <w:color w:val="000000"/>
          <w:sz w:val="24"/>
          <w:szCs w:val="24"/>
        </w:rPr>
        <w:t xml:space="preserve">Police forces have been facing with two challenges in the 21st century, one is the supply of adequate candidates, and the other aims the carrier maintenance of the enrolled university students. The situation was caused by the unpleasant population wave, which are present within the candidates of the public service higher education. Moreover, we have to face with the special characteristics of the new generation.</w:t>
      </w:r>
    </w:p>
    <w:p>
      <w:pPr>
        <w:widowControl w:val="on"/>
        <w:pBdr/>
        <w:spacing w:before="240" w:after="240" w:line="240" w:lineRule="auto"/>
        <w:ind w:left="0" w:right="0"/>
        <w:jc w:val="left"/>
      </w:pPr>
      <w:r>
        <w:rPr>
          <w:color w:val="000000"/>
          <w:sz w:val="24"/>
          <w:szCs w:val="24"/>
        </w:rPr>
        <w:t xml:space="preserve">Having recognised the problem, the legal status of candidate officers was introduced by the legislator from the autumn semester in 2016. This is a unique transition between being a university student and official service, giving new basis to the legal status of students. As for the financial guards the officer candidate legal status was regulated again in 2022. The main characteristics are: transmitting remuneration instead of scholarship, and compulsory 8 years became 10 years that they have serve.</w:t>
      </w:r>
    </w:p>
    <w:p>
      <w:pPr>
        <w:widowControl w:val="on"/>
        <w:pBdr/>
        <w:spacing w:before="240" w:after="240" w:line="240" w:lineRule="auto"/>
        <w:ind w:left="0" w:right="0"/>
        <w:jc w:val="left"/>
      </w:pPr>
      <w:r>
        <w:rPr>
          <w:color w:val="000000"/>
          <w:sz w:val="24"/>
          <w:szCs w:val="24"/>
        </w:rPr>
        <w:t xml:space="preserve">In my essay I have been searching an answer for the question whether the new decisions are motivating in the fields of financial guard training, and what kind of challenges the public service training meets, when mentioning candidates. According to my hypothesis the regulators for candidates, the changes of those, are unable to solve the problem of financial guard supply.</w:t>
      </w:r>
    </w:p>
    <w:p>
      <w:pPr>
        <w:widowControl w:val="on"/>
        <w:pBdr/>
        <w:spacing w:before="240" w:after="240" w:line="240" w:lineRule="auto"/>
        <w:ind w:left="0" w:right="0"/>
        <w:jc w:val="left"/>
      </w:pPr>
      <w:r>
        <w:rPr>
          <w:color w:val="000000"/>
          <w:sz w:val="24"/>
          <w:szCs w:val="24"/>
        </w:rPr>
        <w:t xml:space="preserve">I had been analysing the data through a qualitative research. My research has partly convinced me about the accurate picture of the effectiveness of the measures which were evaluated based on the criteria I find important. The issue is much more difficult than it could be solved by changing of legal action, meaning the generation gap, the inflexibility of the legal entity, and the academic being of the education.</w:t>
      </w:r>
      <w:r>
        <w:rPr>
          <w:color w:val="000000"/>
          <w:sz w:val="24"/>
          <w:szCs w:val="24"/>
        </w:rPr>
        <w:br/>
        <w:t xml:space="preserve">“The orientation, integration and long-term employment of the new generation towards NAT (National Tax and Customs Administration) is the common goal of the public service higher educational institution and the employer, this supposes the close cooperation, collaboration, helping and supporting each other and thinking together.”</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1: Erdős Ákos, Magasvári Adrienn, Molnár Katalin, Pócsi Anikó, Szabó Andrea &amp; Vas Adrienn (2020): NAV Café – A Nemzeti Adó- és Vámhivatal személyi állományának utánpótlása, felkészítésük gyakorlati kérdései. Magyar Rendészet, 20. évf., 1. sz, pp. 149-177.: 173.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29343">
    <w:multiLevelType w:val="hybridMultilevel"/>
    <w:lvl w:ilvl="0" w:tplc="57410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29343">
    <w:abstractNumId w:val="364293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14505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