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HADHÁZY</w:t>
            </w:r>
          </w:p>
          <w:p w:rsidR="00C275A3" w:rsidRDefault="00CA6B74" w:rsidP="00C275A3">
            <w:pPr>
              <w:pStyle w:val="Hallgatokepzes"/>
            </w:pPr>
            <w:r w:rsidRPr="001067CD">
              <w:rPr>
                <w:i/>
              </w:rPr>
              <w:t>adelhadhazy@gmail.com</w:t>
            </w:r>
            <w:r w:rsidRPr="001067CD">
              <w:rPr>
                <w:i/>
              </w:rPr>
              <w:br/>
            </w:r>
            <w:r w:rsidR="00A96AEC">
              <w:t>Management and Leadership</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 Tibor Felsmann</w:t>
            </w:r>
          </w:p>
          <w:p w:rsidR="00DB4822" w:rsidRDefault="00DB4822" w:rsidP="00BA6BAF">
            <w:pPr>
              <w:pStyle w:val="Konzulensektitulus"/>
            </w:pPr>
            <w:r w:rsidRPr="00DB4822">
              <w:t>associate professor,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Reapplying co-opetition in practice – The missing opportunity of cooperation among the smaller obligated parties of the Hungarian Energy Efficiency Obligation Scheme in 2024</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Energy; Efficiency; Obligation; EEOS; Co-opetition</w:t>
      </w:r>
      <w:r>
        <w:t xml:space="preserve"/>
      </w:r>
    </w:p>
    <w:p>
      <w:pPr>
        <w:widowControl w:val="on"/>
        <w:pBdr/>
        <w:spacing w:before="240" w:after="240" w:line="240" w:lineRule="auto"/>
        <w:ind w:left="0" w:right="0"/>
        <w:jc w:val="left"/>
      </w:pPr>
      <w:r>
        <w:rPr>
          <w:color w:val="000000"/>
          <w:sz w:val="24"/>
          <w:szCs w:val="24"/>
        </w:rPr>
        <w:t xml:space="preserve">The pursuit of energy efficiency in the European Union has been ongoing for nearly two decades, driven by the 20/20/20 targets of 2007 and further clarified in the EU Energy Efficiency 2012/27/EU Directive’ Article 7 in 2012. This directive introduced the Energy Efficiency Obligation Scheme (EEOS), requiring member states to achieve end-use energy savings through obligations on energy distributors and retailers. Inspired by EEOS systems in Denmark, France, and Italy, 17 EU member states, including Hungary in 2021, have implemented the scheme.</w:t>
      </w:r>
    </w:p>
    <w:p>
      <w:pPr>
        <w:widowControl w:val="on"/>
        <w:pBdr/>
        <w:spacing w:before="240" w:after="240" w:line="240" w:lineRule="auto"/>
        <w:ind w:left="0" w:right="0"/>
        <w:jc w:val="left"/>
      </w:pPr>
      <w:r>
        <w:rPr>
          <w:color w:val="000000"/>
          <w:sz w:val="24"/>
          <w:szCs w:val="24"/>
        </w:rPr>
        <w:t xml:space="preserve">Hungary’s EEOS mandates electricity and natural gas suppliers, distributors, and transport fuel associations to undertake projects delivering verified energy savings. Compliance has been high, with 112% of the obligation fulfilled, exceeding targets. However, smaller obligated parties—those with initial obligations under 1000 GJ—have struggled to meet requirements due to limited expertise and resources. Many resort to paying levies, placing them at a disadvantage compared to larger entities that can implement energy-saving projects more efficiently.</w:t>
      </w:r>
    </w:p>
    <w:p>
      <w:pPr>
        <w:widowControl w:val="on"/>
        <w:pBdr/>
        <w:spacing w:before="240" w:after="240" w:line="240" w:lineRule="auto"/>
        <w:ind w:left="0" w:right="0"/>
        <w:jc w:val="left"/>
      </w:pPr>
      <w:r>
        <w:rPr>
          <w:color w:val="000000"/>
          <w:sz w:val="24"/>
          <w:szCs w:val="24"/>
        </w:rPr>
        <w:t xml:space="preserve">The Hungarian legal framework permits obligated parties to fulfil obligations jointly, such as through collaborative energy efficiency projects. This mechanism could help reduce smaller parties’ disadvantages. The research study explores whether the legal framework of EEOS through allowing joint fulfilment of obligation strengthens cooperation among smaller actors. The research question is the following, “Does the legal framework of the Hungarian Energy Efficiency Obligation Scheme, which ensures the joint fulfilment of the energy savings obligation, strengthen cooperation between small, obligated parties in 2024?”.</w:t>
      </w:r>
    </w:p>
    <w:p>
      <w:pPr>
        <w:widowControl w:val="on"/>
        <w:pBdr/>
        <w:spacing w:before="240" w:after="240" w:line="240" w:lineRule="auto"/>
        <w:ind w:left="0" w:right="0"/>
        <w:jc w:val="left"/>
      </w:pPr>
      <w:r>
        <w:rPr>
          <w:color w:val="000000"/>
          <w:sz w:val="24"/>
          <w:szCs w:val="24"/>
        </w:rPr>
        <w:t xml:space="preserve">Using Brandenburger’s theory of co-opetition—advocating collaboration among competitors for shared benefits—the study employs qualitative methods, including interviews with regulatory bodies, obligated parties, and experts, alongside a literature review. The paper demonstrates that the Hungarian EEOS is an appropriate empirical research topic to answer the existing question of co-opetition theory, whether cooperation between competitors is realised in practice.</w:t>
      </w:r>
    </w:p>
    <w:p>
      <w:pPr>
        <w:widowControl w:val="on"/>
        <w:pBdr/>
        <w:spacing w:before="240" w:after="240" w:line="240" w:lineRule="auto"/>
        <w:ind w:left="0" w:right="0"/>
        <w:jc w:val="left"/>
      </w:pPr>
      <w:r>
        <w:rPr>
          <w:color w:val="000000"/>
          <w:sz w:val="24"/>
          <w:szCs w:val="24"/>
        </w:rPr>
        <w:t xml:space="preserve">Findings reveal that cooperation among smaller obligated parties is limited under the current EEOS framework due to a lack of trust, inadequate knowledge and information sharing, high transaction costs, and market oversupply.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05651">
    <w:multiLevelType w:val="hybridMultilevel"/>
    <w:lvl w:ilvl="0" w:tplc="59541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05651">
    <w:abstractNumId w:val="804056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4288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