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BECZŐK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dora.beczok@stud.uni-corvinus.hu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Béza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professzor,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körforgásos gazdasági modell vizsgálata a magyar ruhaiparban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ruhaipar; körforgásos gazdaság; üzleti modell;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világszerte növekvő aggodalom tapasztalható a környezeti károk és az erőforrások kihasználása miatt. Ennek eredményeként egyre nagyobb hangsúlyt kapnak a fenntarthatósági kezdeményezések és a körkörös gazdasági modell alkalmazása, amelyben a termelés és a fogyasztás folyamatai körforgásban vannak, a lehető legnagyobb mértékben minimalizálva az anyag- és energiafelhasználást, valamint a hulladéktermelést. Ezen a téren a ruhaipar jelentős szerepet játszik, hiszen az egyik leginkább erőforrásigényes és hulladéktermelő iparág. Európai uniós viszonylatban a textiltermékek felhasználása a környezetre és az éghajlatváltozásra gyakorolt hatásokat tekintve negyedik helyen áll az élelmiszerek, a lakhatás és a mobilitás után. Vízfogyasztás és földhasználat tekintetében harmadik, míg az elsődleges nyersanyagok felhasználását és az üvegházhatásúgáz-kibocsátást illetően az ötödik helyet foglalja el a rangsorban. (EEA, 2022) Ez azt jelenti, hogy a textiltermékek gyártása és felhasználása jelentős hatással van az ökoszisztémára és a klímaváltozásra, ezáltal fontos szerepet játszik az uniós fenntarthatósági célok elérésében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Magyarországon működő ruhaipari vállalkozások vizsgálatán keresztül tárom fel a körforgásos üzleti modellek alkalmazását motiváló és befolyásoló tényezőket. A hazai vállalkozókkal készített interjúk során arra a kérdésre kerestem a választ, hogy a magyar ruhaiparban milyen lehetőségek és gátak merülnek fel a körforgásos szemlélet alkalmazása során, illetve ezek mennyiben járulnak hozzá a vállalkozás versenyképességéhez.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négy fő tényező akadályozza a körforgásos üzleti modellek elterjedését: fogyasztók magatartásának lassú változása, edukáció hiánya, kormányzati és intézményi korlátok, valamint szervezeti és beszállítói korlátok. Ezzel szemben erőteljes motiváló erővel bír az iparágban tevékenykedő vállalkozók személyes motivációja és fenntarthatóság iránti</w:t>
      </w:r>
      <w:r>
        <w:rPr>
          <w:color w:val="000000"/>
          <w:sz w:val="24"/>
          <w:szCs w:val="24"/>
        </w:rPr>
        <w:br/>
        <w:t xml:space="preserve">elköteleződése, a pozitív társadalmi és piaci változások, valamint az iparágban működő vállalkozások méretéből fakadó előnyök. A számos ösztönző tényező ellenére a körforgásos üzleti modellek alkalmazása nem jelent hazánkban versenyelőnyt.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89523">
    <w:multiLevelType w:val="hybridMultilevel"/>
    <w:lvl w:ilvl="0" w:tplc="12951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89523">
    <w:abstractNumId w:val="983895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538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