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HÁRSKUTI</w:t>
            </w:r>
          </w:p>
          <w:p w:rsidR="00C275A3" w:rsidRDefault="00CA6B74" w:rsidP="00C275A3">
            <w:pPr>
              <w:pStyle w:val="Hallgatokepzes"/>
            </w:pPr>
            <w:r w:rsidRPr="001067CD">
              <w:rPr>
                <w:i/>
              </w:rPr>
              <w:t>harskuti.eszter11@gmail.com</w:t>
            </w:r>
            <w:r w:rsidRPr="001067CD">
              <w:rPr>
                <w:i/>
              </w:rPr>
              <w:br/>
            </w:r>
            <w:r w:rsidR="00A96AEC">
              <w:t>business and management</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Katalin Ásványi</w:t>
            </w:r>
          </w:p>
          <w:p w:rsidR="00DB4822" w:rsidRDefault="00DB4822" w:rsidP="00BA6BAF">
            <w:pPr>
              <w:pStyle w:val="Konzulensektitulus"/>
            </w:pPr>
            <w:r w:rsidRPr="00DB4822">
              <w:t>associate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Universities for students with disabilities - An analysis of services for students with disabilities: a comparison of Hungarian and American universities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University Social Responsibility (USR); Disability-Friendly Student Services; Social Sustainability; Accessibility; SDG Goals (Sustainable Development Goals)</w:t>
      </w:r>
      <w:r>
        <w:t xml:space="preserve"/>
      </w:r>
    </w:p>
    <w:p>
      <w:pPr>
        <w:widowControl w:val="on"/>
        <w:pBdr/>
        <w:spacing w:before="240" w:after="240" w:line="240" w:lineRule="auto"/>
        <w:ind w:left="0" w:right="0"/>
        <w:jc w:val="left"/>
      </w:pPr>
      <w:r>
        <w:rPr>
          <w:color w:val="000000"/>
          <w:sz w:val="24"/>
          <w:szCs w:val="24"/>
        </w:rPr>
        <w:t xml:space="preserve">This thesis examines the literature and implementation of University Social Responsibility (USR), the higher education counterpart of Corporate Social Responsibility (CSR). Its novelty lies in the fact that while CSR has been widely studied in Hungary, there is little research on USR. The thesis compares the social sustainability of Hungarian universities with similar activities at American universities, focusing specifically on disability-friendly student services. The research employs qualitative content analysis, analyzing the websites of American and Hungarian universities, supplemented by three expert interviews. The main conclusion is that many services communicated by American universities are present in some form on Hungarian university websites, but there is significant room for improvement. The thesis concludes with recommendations for development, focusing on virtual and physical accessibility, opportunities for para-athletics, inclusive culture, SDG-aligned planning, and effective internal and external communication.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48500">
    <w:multiLevelType w:val="hybridMultilevel"/>
    <w:lvl w:ilvl="0" w:tplc="89999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48500">
    <w:abstractNumId w:val="283485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134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