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DORKA FORGÁCS</w:t>
            </w:r>
          </w:p>
          <w:p w:rsidR="00C275A3" w:rsidRDefault="00CA6B74" w:rsidP="00C275A3">
            <w:pPr>
              <w:pStyle w:val="Hallgatokepzes"/>
            </w:pPr>
            <w:r w:rsidRPr="001067CD">
              <w:rPr>
                <w:i/>
              </w:rPr>
              <w:t>dorka.forgacs@gmail.com</w:t>
            </w:r>
            <w:r w:rsidRPr="001067CD">
              <w:rPr>
                <w:i/>
              </w:rPr>
              <w:br/>
            </w:r>
            <w:r w:rsidR="00A96AEC">
              <w:t>Finance</w:t>
            </w:r>
            <w:r w:rsidR="00A96AEC">
              <w:br/>
            </w:r>
            <w:r w:rsidR="00E77B23">
              <w:t>MSc, 4.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Fanni Dudás</w:t>
            </w:r>
          </w:p>
          <w:p w:rsidR="00DB4822" w:rsidRDefault="00DB4822" w:rsidP="00BA6BAF">
            <w:pPr>
              <w:pStyle w:val="Konzulensektitulus"/>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Corporate Greenwashing is affected by Corruption and National Well-being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sustainability; greenwashing; corruption; national-wellbeing; panel regression</w:t>
      </w:r>
      <w:r>
        <w:t xml:space="preserve"/>
      </w:r>
    </w:p>
    <w:p>
      <w:pPr>
        <w:widowControl w:val="on"/>
        <w:pBdr/>
        <w:spacing w:before="240" w:after="240" w:line="240" w:lineRule="auto"/>
        <w:ind w:left="0" w:right="0"/>
        <w:jc w:val="left"/>
      </w:pPr>
      <w:r>
        <w:rPr>
          <w:color w:val="000000"/>
          <w:sz w:val="24"/>
          <w:szCs w:val="24"/>
        </w:rPr>
        <w:t xml:space="preserve">Understanding the impacts of company actions on societal well-being is of paramount importance, and this study addresses this concern by assessing the associations between corporate greenwashing, corruption, and national well-being. How do different levels of corruption in a country affect firms' willingness to adopt ESG greenwashing behavior by influencing transparency, the regulatory environment, corporate governance structures. Also, how the socio-economic development indicators and social expectations of a country combine to influence the acceptance of ESG greenwashing practices by companies. It also delves into investigating how does board size influence firm’s ESG greenwashing behavior, and to extent does a larger board size mitigate such behavior through enhanced monitoring capabilities. Using multiple linear regression on panel data from notable sources such as Bloomberg, Refinitiv Eikon, the United Nations, and the Transparency International for the period between 2018 and 2021, insight into global capital markets was gleaned. The universe of the study is the MSCI Worldwide Index, reflecting diverse economies. Furthermore, the greenwashing scoring system used provides wide acceptance as a measure of corporate greenwashing. The results of the study suggest that companies are more likely to engage in greenwashing if the level of corruption in the country is high. It also suggests that in countries with advanced economies, where people are more educated and have better access to information, companies are less likely to greenwash in their sustainability reports. The results of the study also indicate that the more members a company has on its board, the more likely it is that these companies will engage in greenwashing practices. Conclusions absorbed from this research may notably impact investors, managers, and policymakers. The findings could potentially enforce better sustainability disclosures and reporting standards, enforce stricter corporate governance policies, and influence investment decisions, all with an aim to drive more sustainable and ethical corporate behavior.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31322">
    <w:multiLevelType w:val="hybridMultilevel"/>
    <w:lvl w:ilvl="0" w:tplc="41380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31322">
    <w:abstractNumId w:val="62231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080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