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nona.buzhgulashvili@stud.uni-corvinus.hu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Helena Naffa</w:t>
            </w:r>
          </w:p>
          <w:p w:rsidR="00DB4822" w:rsidRDefault="00DB4822" w:rsidP="00BA6BAF">
            <w:pPr>
              <w:pStyle w:val="Konzulensektitulus"/>
            </w:pPr>
            <w:r w:rsidRPr="00DB4822">
              <w:t>Phd,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Biodiversity Commitments – Behind the Green Curtain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Biodiversity, Refinitiv E score, Biodiversity loss, Biodiversity commitment, ESG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Biodiversity commitment has gained increasing attention as a vital aspect of corporate</w:t>
      </w:r>
      <w:r>
        <w:rPr>
          <w:color w:val="000000"/>
          <w:sz w:val="24"/>
          <w:szCs w:val="24"/>
        </w:rPr>
        <w:br/>
        <w:t xml:space="preserve">sustainability. The growing popularity of biodiversity considerations in corporate practices</w:t>
      </w:r>
      <w:r>
        <w:rPr>
          <w:color w:val="000000"/>
          <w:sz w:val="24"/>
          <w:szCs w:val="24"/>
        </w:rPr>
        <w:br/>
        <w:t xml:space="preserve">underscores the need to comprehend associated risks. This thesis employs a methodology rooted</w:t>
      </w:r>
      <w:r>
        <w:rPr>
          <w:color w:val="000000"/>
          <w:sz w:val="24"/>
          <w:szCs w:val="24"/>
        </w:rPr>
        <w:br/>
        <w:t xml:space="preserve">in contextual analysis, utilizing mentions of "biodiversity" across corporate materials, to assess the</w:t>
      </w:r>
      <w:r>
        <w:rPr>
          <w:color w:val="000000"/>
          <w:sz w:val="24"/>
          <w:szCs w:val="24"/>
        </w:rPr>
        <w:br/>
        <w:t xml:space="preserve">commitment levels of the top MSCI AC 15 companies. After screening the corporate reports</w:t>
      </w:r>
      <w:r>
        <w:rPr>
          <w:color w:val="000000"/>
          <w:sz w:val="24"/>
          <w:szCs w:val="24"/>
        </w:rPr>
        <w:br/>
        <w:t xml:space="preserve">mentioning “biodiversity”, the scoring system was implemented and each company was assessed</w:t>
      </w:r>
      <w:r>
        <w:rPr>
          <w:color w:val="000000"/>
          <w:sz w:val="24"/>
          <w:szCs w:val="24"/>
        </w:rPr>
        <w:br/>
        <w:t xml:space="preserve">according to the 10 categories. Each category was evaluated individually, with varying weights</w:t>
      </w:r>
      <w:r>
        <w:rPr>
          <w:color w:val="000000"/>
          <w:sz w:val="24"/>
          <w:szCs w:val="24"/>
        </w:rPr>
        <w:br/>
        <w:t xml:space="preserve">assigned based on their perceived importance. The scores for each category were calculated</w:t>
      </w:r>
      <w:r>
        <w:rPr>
          <w:color w:val="000000"/>
          <w:sz w:val="24"/>
          <w:szCs w:val="24"/>
        </w:rPr>
        <w:br/>
        <w:t xml:space="preserve">separately, and in the end, the total score was derived by aggregating these weighted scores.</w:t>
      </w:r>
      <w:r>
        <w:rPr>
          <w:color w:val="000000"/>
          <w:sz w:val="24"/>
          <w:szCs w:val="24"/>
        </w:rPr>
        <w:br/>
        <w:t xml:space="preserve">Eventually, the companies were categorized as either proactive "action-takers", those which are</w:t>
      </w:r>
      <w:r>
        <w:rPr>
          <w:color w:val="000000"/>
          <w:sz w:val="24"/>
          <w:szCs w:val="24"/>
        </w:rPr>
        <w:br/>
        <w:t xml:space="preserve">“Risk-Aware” or potential "Greenwashers." Subsequently, a comparative analysis with existing</w:t>
      </w:r>
      <w:r>
        <w:rPr>
          <w:color w:val="000000"/>
          <w:sz w:val="24"/>
          <w:szCs w:val="24"/>
        </w:rPr>
        <w:br/>
        <w:t xml:space="preserve">official rating agencies, in this case comparison with Refinitiv Environmental score, aims to</w:t>
      </w:r>
      <w:r>
        <w:rPr>
          <w:color w:val="000000"/>
          <w:sz w:val="24"/>
          <w:szCs w:val="24"/>
        </w:rPr>
        <w:br/>
        <w:t xml:space="preserve">scrutinize the alignment between perceived sustainable champions and their actual commitment to</w:t>
      </w:r>
      <w:r>
        <w:rPr>
          <w:color w:val="000000"/>
          <w:sz w:val="24"/>
          <w:szCs w:val="24"/>
        </w:rPr>
        <w:br/>
        <w:t xml:space="preserve">biodiversity. The primary objective is to identify whether companies recognized as sustainable</w:t>
      </w:r>
      <w:r>
        <w:rPr>
          <w:color w:val="000000"/>
          <w:sz w:val="24"/>
          <w:szCs w:val="24"/>
        </w:rPr>
        <w:br/>
        <w:t xml:space="preserve">champions genuinely prioritize biodiversity and demonstrate an awareness of associated risks. The</w:t>
      </w:r>
      <w:r>
        <w:rPr>
          <w:color w:val="000000"/>
          <w:sz w:val="24"/>
          <w:szCs w:val="24"/>
        </w:rPr>
        <w:br/>
        <w:t xml:space="preserve">findings indicate that while some companies tend to assess biodiversity impacts and consider them</w:t>
      </w:r>
      <w:r>
        <w:rPr>
          <w:color w:val="000000"/>
          <w:sz w:val="24"/>
          <w:szCs w:val="24"/>
        </w:rPr>
        <w:br/>
        <w:t xml:space="preserve">significant, others are just beginning to address these issues. For instance, Amazon.com, Alphabet,</w:t>
      </w:r>
      <w:r>
        <w:rPr>
          <w:color w:val="000000"/>
          <w:sz w:val="24"/>
          <w:szCs w:val="24"/>
        </w:rPr>
        <w:br/>
        <w:t xml:space="preserve">and Apple showed relatively high commitments towards biodiversity, while companies such as</w:t>
      </w:r>
      <w:r>
        <w:rPr>
          <w:color w:val="000000"/>
          <w:sz w:val="24"/>
          <w:szCs w:val="24"/>
        </w:rPr>
        <w:br/>
        <w:t xml:space="preserve">NVIDIA, Broadcom Inc., and Tesla demonstrated lack of awareness and strategic initiatives</w:t>
      </w:r>
      <w:r>
        <w:rPr>
          <w:color w:val="000000"/>
          <w:sz w:val="24"/>
          <w:szCs w:val="24"/>
        </w:rPr>
        <w:br/>
        <w:t xml:space="preserve">towards biodiversity conservation. Overall, 7 companies fall under “Action-Taker” category, 5 fall</w:t>
      </w:r>
      <w:r>
        <w:rPr>
          <w:color w:val="000000"/>
          <w:sz w:val="24"/>
          <w:szCs w:val="24"/>
        </w:rPr>
        <w:br/>
        <w:t xml:space="preserve">under “Risk-Aware” and 3 fall under “Greenwasher” category.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59261">
    <w:multiLevelType w:val="hybridMultilevel"/>
    <w:lvl w:ilvl="0" w:tplc="84931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59261">
    <w:abstractNumId w:val="938592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708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