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PINTER</w:t>
            </w:r>
          </w:p>
          <w:p w:rsidR="00C275A3" w:rsidRDefault="00CA6B74" w:rsidP="00C275A3">
            <w:pPr>
              <w:pStyle w:val="Hallgatokepzes"/>
            </w:pPr>
            <w:r w:rsidRPr="001067CD">
              <w:rPr>
                <w:i/>
              </w:rPr>
              <w:t>pinter.attila0202@gmail.com</w:t>
            </w:r>
            <w:r w:rsidRPr="001067CD">
              <w:rPr>
                <w:i/>
              </w:rPr>
              <w:br/>
            </w:r>
            <w:r w:rsidR="00A96AEC">
              <w:t>Economist in 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Miklos Vary</w:t>
            </w:r>
          </w:p>
          <w:p w:rsidR="00DB4822" w:rsidRDefault="00DB4822" w:rsidP="00BA6BAF">
            <w:pPr>
              <w:pStyle w:val="Konzulensektitulus"/>
            </w:pPr>
            <w:r w:rsidRPr="00DB4822">
              <w:t>senior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Two-Dimensional Spatial Competition: Extension of the Hotelling-Model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Spatial competition, market models, Hotelling model, Nash equilibrium, Game theory</w:t>
      </w:r>
      <w:r>
        <w:t xml:space="preserve"/>
      </w:r>
    </w:p>
    <w:p>
      <w:pPr>
        <w:widowControl w:val="on"/>
        <w:pBdr/>
        <w:spacing w:before="240" w:after="240" w:line="240" w:lineRule="auto"/>
        <w:ind w:left="0" w:right="0"/>
        <w:jc w:val="left"/>
      </w:pPr>
      <w:r>
        <w:rPr>
          <w:color w:val="000000"/>
          <w:sz w:val="24"/>
          <w:szCs w:val="24"/>
        </w:rPr>
        <w:t xml:space="preserve">To better understand business strategies and market behaviour, it is inevitable to analyse the spatial competition between firms. In everyday life, we can see stores selling the same type of products while they are next to each other, such as fast-food restaurants, clothing stores, or gas stations.</w:t>
      </w:r>
    </w:p>
    <w:p>
      <w:pPr>
        <w:widowControl w:val="on"/>
        <w:pBdr/>
        <w:spacing w:before="240" w:after="240" w:line="240" w:lineRule="auto"/>
        <w:ind w:left="0" w:right="0"/>
        <w:jc w:val="left"/>
      </w:pPr>
      <w:r>
        <w:rPr>
          <w:color w:val="000000"/>
          <w:sz w:val="24"/>
          <w:szCs w:val="24"/>
        </w:rPr>
        <w:t xml:space="preserve">Harold Hotelling introduced his well-known model in 1929, which gave an easy-to-understand explanation for this problem. Although the model has received a lot of criticism, it has inspired much of the subsequent research on this topic. Hotelling’s model is simple and may be viewed as unrealistic. I introduced new variables, such as bounded rationality, bankruptcy, and relocation cost, to make the model more realistic.</w:t>
      </w:r>
    </w:p>
    <w:p>
      <w:pPr>
        <w:widowControl w:val="on"/>
        <w:pBdr/>
        <w:spacing w:before="240" w:after="240" w:line="240" w:lineRule="auto"/>
        <w:ind w:left="0" w:right="0"/>
        <w:jc w:val="left"/>
      </w:pPr>
      <w:r>
        <w:rPr>
          <w:color w:val="000000"/>
          <w:sz w:val="24"/>
          <w:szCs w:val="24"/>
        </w:rPr>
        <w:t xml:space="preserve">In my research, I simulated the behaviour of the firms using agent-based modelling. Each simulation ran for one thousand periods. In each period, the firms adjusted their strategies for the next round based on the knowledge they gained from the last round. I expanded the model step-by-step, allowing for the analysis of each factor’s effect on the Nash equilibrium. First, I increased the number of firms and the number of dimensions. The market became two dimensional, with up to ten firms at the same time. The firms may decide the price of their product each round. Other expansions to the model were bankruptcy, bounded rationality, and relocation cost.</w:t>
      </w:r>
    </w:p>
    <w:p>
      <w:pPr>
        <w:widowControl w:val="on"/>
        <w:pBdr/>
        <w:spacing w:before="240" w:after="240" w:line="240" w:lineRule="auto"/>
        <w:ind w:left="0" w:right="0"/>
        <w:jc w:val="left"/>
      </w:pPr>
      <w:r>
        <w:rPr>
          <w:color w:val="000000"/>
          <w:sz w:val="24"/>
          <w:szCs w:val="24"/>
        </w:rPr>
        <w:t xml:space="preserve">All the added factors gave fascinating results. Reducing rationality made the emergence of equilibrium easier, while the relocation cost improved the quality of relocation, and the possible bankruptcy made the market very volatile, leading to fluctuations in the dynamics of the competition.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90690">
    <w:multiLevelType w:val="hybridMultilevel"/>
    <w:lvl w:ilvl="0" w:tplc="78042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90690">
    <w:abstractNumId w:val="78590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879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