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EGRI</w:t>
            </w:r>
          </w:p>
          <w:p w:rsidR="00C275A3" w:rsidRDefault="00CA6B74" w:rsidP="00C275A3">
            <w:pPr>
              <w:pStyle w:val="Hallgatokepzes"/>
            </w:pPr>
            <w:r w:rsidRPr="001067CD">
              <w:rPr>
                <w:i/>
              </w:rPr>
              <w:t>egrimate99@gmail.com</w:t>
            </w:r>
            <w:r w:rsidRPr="001067CD">
              <w:rPr>
                <w:i/>
              </w:rPr>
              <w:br/>
            </w:r>
            <w:r w:rsidR="00A96AEC">
              <w:t>Actuarial and Financial Mathematics</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Miklós Pintér</w:t>
            </w:r>
          </w:p>
          <w:p w:rsidR="00DB4822" w:rsidRDefault="00DB4822" w:rsidP="00BA6BAF">
            <w:pPr>
              <w:pStyle w:val="Konzulensektitulus"/>
            </w:pPr>
            <w:r w:rsidRPr="00DB4822">
              <w:t>professor,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Financial bubbles from an epistemic viewpoint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Financial bubbles; Bayesian game theory; Belief hierarchies; Type spaces; Markov chains</w:t>
      </w:r>
      <w:r>
        <w:t xml:space="preserve"/>
      </w:r>
    </w:p>
    <w:p>
      <w:pPr>
        <w:widowControl w:val="on"/>
        <w:pBdr/>
        <w:spacing w:before="240" w:after="240" w:line="240" w:lineRule="auto"/>
        <w:ind w:left="0" w:right="0"/>
        <w:jc w:val="left"/>
      </w:pPr>
      <w:r>
        <w:rPr>
          <w:color w:val="000000"/>
          <w:sz w:val="24"/>
          <w:szCs w:val="24"/>
        </w:rPr>
        <w:t xml:space="preserve">We explore the phenomenon of financial bubbles from a Bayesian game-theoretical perspective. Our primary question is how financial bubbles can be rigorously defined and analyzed using the framework of type spaces and belief hierarchies in games of incomplete information. We examine the interplay of higher-order beliefs and common priors as the driving force behind speculative bubbles.</w:t>
      </w:r>
    </w:p>
    <w:p>
      <w:pPr>
        <w:widowControl w:val="on"/>
        <w:pBdr/>
        <w:spacing w:before="240" w:after="240" w:line="240" w:lineRule="auto"/>
        <w:ind w:left="0" w:right="0"/>
        <w:jc w:val="left"/>
      </w:pPr>
      <w:r>
        <w:rPr>
          <w:color w:val="000000"/>
          <w:sz w:val="24"/>
          <w:szCs w:val="24"/>
        </w:rPr>
        <w:t xml:space="preserve">We employ the mathematical model of type spaces, introduced by Harsányi's seminal paper "Games with incomplete information played by Bayesian players". Harsányi's key postulate was the existence of a common prior, which suggests that agents’ beliefs can only differ because of their private information. To model the belief chain, we consider type functions as Markov kernels, as in Dov Samet's "Iterated expectations and common priors". In this framework, the belief chain about the valuation of an asset is the iterated expectations of the players, which is the same as the product of their Markov transition matrices. This approach provides a powerful tool to handle the calculations regarding beliefs about beliefs and most of Samet's results are proven analogously in our research, which assumes the more general case of a countably infinite state space.</w:t>
      </w:r>
    </w:p>
    <w:p>
      <w:pPr>
        <w:widowControl w:val="on"/>
        <w:pBdr/>
        <w:spacing w:before="240" w:after="240" w:line="240" w:lineRule="auto"/>
        <w:ind w:left="0" w:right="0"/>
        <w:jc w:val="left"/>
      </w:pPr>
      <w:r>
        <w:rPr>
          <w:color w:val="000000"/>
          <w:sz w:val="24"/>
          <w:szCs w:val="24"/>
        </w:rPr>
        <w:t xml:space="preserve">Our contributions include three distinct definitions that describe unusual market behavior.</w:t>
      </w:r>
    </w:p>
    <w:p>
      <w:pPr>
        <w:pStyle w:val="ListParagraphPHPDOCX"/>
        <w:numPr>
          <w:ilvl w:val="0"/>
          <w:numId w:val="16427641"/>
        </w:numPr>
        <w:spacing w:before="0" w:after="0" w:line="240" w:lineRule="auto"/>
        <w:contextualSpacing/>
        <w:jc w:val="left"/>
        <w:rPr>
          <w:sz w:val="24"/>
          <w:szCs w:val="24"/>
        </w:rPr>
      </w:pPr>
      <w:r>
        <w:rPr>
          <w:color w:val="000000"/>
          <w:sz w:val="24"/>
          <w:szCs w:val="24"/>
        </w:rPr>
        <w:t xml:space="preserve">Illusions are defined as events that are only given positive probability by higher-order beliefs.</w:t>
      </w:r>
    </w:p>
    <w:p>
      <w:pPr>
        <w:pStyle w:val="ListParagraphPHPDOCX"/>
        <w:numPr>
          <w:ilvl w:val="0"/>
          <w:numId w:val="16427641"/>
        </w:numPr>
        <w:spacing w:before="0" w:after="0" w:line="240" w:lineRule="auto"/>
        <w:contextualSpacing/>
        <w:jc w:val="left"/>
        <w:rPr>
          <w:sz w:val="24"/>
          <w:szCs w:val="24"/>
        </w:rPr>
      </w:pPr>
      <w:r>
        <w:rPr>
          <w:color w:val="000000"/>
          <w:sz w:val="24"/>
          <w:szCs w:val="24"/>
        </w:rPr>
        <w:t xml:space="preserve">Financial bubbles are random variables valued more highly by higher-order beliefs than by any player’s individual (first-order) beliefs.</w:t>
      </w:r>
    </w:p>
    <w:p>
      <w:pPr>
        <w:pStyle w:val="ListParagraphPHPDOCX"/>
        <w:numPr>
          <w:ilvl w:val="0"/>
          <w:numId w:val="16427641"/>
        </w:numPr>
        <w:spacing w:before="0" w:after="0" w:line="240" w:lineRule="auto"/>
        <w:contextualSpacing/>
        <w:jc w:val="left"/>
        <w:rPr>
          <w:sz w:val="24"/>
          <w:szCs w:val="24"/>
        </w:rPr>
      </w:pPr>
      <w:r>
        <w:rPr>
          <w:color w:val="000000"/>
          <w:sz w:val="24"/>
          <w:szCs w:val="24"/>
        </w:rPr>
        <w:t xml:space="preserve">Hyperbolic financial bubbles are random variables assigned unbounded values by higher-order beliefs.</w:t>
      </w:r>
    </w:p>
    <w:p>
      <w:pPr>
        <w:widowControl w:val="on"/>
        <w:pBdr/>
        <w:spacing w:before="240" w:after="240" w:line="240" w:lineRule="auto"/>
        <w:ind w:left="0" w:right="0"/>
        <w:jc w:val="left"/>
      </w:pPr>
      <w:r>
        <w:rPr>
          <w:color w:val="000000"/>
          <w:sz w:val="24"/>
          <w:szCs w:val="24"/>
        </w:rPr>
        <w:t xml:space="preserve">We state and prove several results about the connections of these concepts and their relation to common priors. Specifically, Corollary 3.7 shows how illusions can imply the existence of financial bubbles. Conversely, Propositions 3.8 and 3.11 establish the conditions under which financial and hyperbolic financial bubbles respectively imply the existence of illusions. Furthermore, Proposition 3.3 and Theorems 3.5 and 3.12 provide necessary and sufficient conditions for the existence of illusions, financial bubbles, and hyperbolic financial bubbles respectively, based on the properties of the common prior.</w:t>
      </w:r>
    </w:p>
    <w:p>
      <w:pPr>
        <w:widowControl w:val="on"/>
        <w:pBdr/>
        <w:spacing w:before="240" w:after="240" w:line="240" w:lineRule="auto"/>
        <w:ind w:left="0" w:right="0"/>
        <w:jc w:val="left"/>
      </w:pPr>
      <w:r>
        <w:rPr>
          <w:color w:val="000000"/>
          <w:sz w:val="24"/>
          <w:szCs w:val="24"/>
        </w:rPr>
        <w:t xml:space="preserve">In the end, we set up an asset pricing model in this framework and provide an example of a hyperbolic financial bubble emerging from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27641">
    <w:multiLevelType w:val="hybridMultilevel"/>
    <w:lvl w:ilvl="0" w:tplc="79297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27641">
    <w:abstractNumId w:val="164276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15818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