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FRIGYES PÉTER BALÁZS</w:t>
            </w:r>
          </w:p>
          <w:p w:rsidR="00C275A3" w:rsidRDefault="00CA6B74" w:rsidP="00C275A3">
            <w:pPr>
              <w:pStyle w:val="Hallgatokepzes"/>
            </w:pPr>
            <w:r w:rsidRPr="001067CD">
              <w:rPr>
                <w:i/>
              </w:rPr>
              <w:t>frigyes.balazs@stud.uni-corvinus.hu</w:t>
            </w:r>
            <w:r w:rsidRPr="001067CD">
              <w:rPr>
                <w:i/>
              </w:rPr>
              <w:br/>
            </w:r>
            <w:r w:rsidR="00A96AEC">
              <w:t>applied economics</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Mánuel László Mágó</w:t>
            </w:r>
          </w:p>
          <w:p w:rsidR="00DB4822" w:rsidRDefault="00DB4822" w:rsidP="00BA6BAF">
            <w:pPr>
              <w:pStyle w:val="Konzulensektitulus"/>
            </w:pPr>
            <w:r w:rsidRPr="00DB4822">
              <w:t>senior lecturer,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Ranking European countries based on immigration and foreign direct investment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measuing quality of life; HDI; immigration; FDI</w:t>
      </w:r>
      <w:r>
        <w:t xml:space="preserve"/>
      </w:r>
    </w:p>
    <w:p>
      <w:pPr>
        <w:widowControl w:val="on"/>
        <w:pBdr/>
        <w:spacing w:before="240" w:after="240" w:line="240" w:lineRule="auto"/>
        <w:ind w:left="0" w:right="0"/>
        <w:jc w:val="left"/>
      </w:pPr>
      <w:r>
        <w:rPr>
          <w:color w:val="000000"/>
          <w:sz w:val="24"/>
          <w:szCs w:val="24"/>
        </w:rPr>
        <w:t xml:space="preserve">This research aims to create two indicators measuring well-being for European countries and compare them with the Human Development Index (HDI). The indicators developed in this paper measures well-being using people’s decisions based on revealed preferences. This approach eliminates the subjectivity inherent in defining and weighting factors of well-being. To create the indicators, I use pairwise comparison matrices (based on Petróczy, 2021).</w:t>
      </w:r>
      <w:r>
        <w:rPr>
          <w:color w:val="000000"/>
          <w:sz w:val="24"/>
          <w:szCs w:val="24"/>
        </w:rPr>
        <w:br/>
        <w:t xml:space="preserve">Two types of indicators were created in the study: one based on bilateral foreign direct investments (FDI) and the other based on bilateral immigrant stocks. The underlying assumption is that less developed countries experience higher emigration rates to more developed countries, while more developed countries invest larger amounts of capital in less developed ones. These indicators assign values to countries based on revealed preferences. The indicator based on FDI exhibits a correlation of 0.71 with HDI, while the migration-based indicator has a correlation of -0.8 with HDI, which is negative due to the methodology, and supports the paper’s underlying assumptions.</w:t>
      </w:r>
      <w:r>
        <w:rPr>
          <w:color w:val="000000"/>
          <w:sz w:val="24"/>
          <w:szCs w:val="24"/>
        </w:rPr>
        <w:br/>
        <w:t xml:space="preserve">The paper also analyses which component of the HDI has the strongest correlation with the two indicators and identifies the countries where the indicators deviate the most from it. The FDI-based indicator shows the strongest correlation with per capita GNI, while the migration-based indicator shows a very strong correlation with both GNI per capita and life expectancy. Among the countries where the FDI-based indicator differs most from HDI, tax havens are overrepresented. For the migration-based indicator, countries with extreme average temperatures (either very high or very low) are the ones most likely to show different results than HDI.</w:t>
      </w:r>
      <w:r>
        <w:rPr>
          <w:color w:val="000000"/>
          <w:sz w:val="24"/>
          <w:szCs w:val="24"/>
        </w:rPr>
        <w:br/>
        <w:t xml:space="preserve">These results support the hypotheses of the paper. The strong correlation between the indicators developed and HDI confirms their suitability for measuring overall well-being. Additionally, plausible explanations exist for the discrepancies between the indicators and the HDI in countries where the results differ the most.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660048">
    <w:multiLevelType w:val="hybridMultilevel"/>
    <w:lvl w:ilvl="0" w:tplc="11479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660048">
    <w:abstractNumId w:val="116600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09004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