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ANNA GEDEON </w:t>
            </w:r>
          </w:p>
          <w:p w:rsidR="00C275A3" w:rsidRDefault="00CA6B74" w:rsidP="00C275A3">
            <w:pPr>
              <w:pStyle w:val="Hallgatokepzes"/>
            </w:pPr>
            <w:r w:rsidRPr="001067CD">
              <w:rPr>
                <w:i/>
              </w:rPr>
              <w:t>annagedeon7@gmail.com</w:t>
            </w:r>
            <w:r w:rsidRPr="001067CD">
              <w:rPr>
                <w:i/>
              </w:rPr>
              <w:br/>
            </w:r>
            <w:r w:rsidR="00A96AEC">
              <w:t>Applied Economics</w:t>
            </w:r>
            <w:r w:rsidR="00A96AEC">
              <w:br/>
            </w:r>
            <w:r w:rsidR="00E77B23">
              <w:t>BSc, 6. semester</w:t>
            </w:r>
          </w:p>
          <w:p w:rsidR="00C265CE" w:rsidRPr="009E5FF1" w:rsidRDefault="00E77B23" w:rsidP="00BA6BAF">
            <w:pPr>
              <w:pStyle w:val="Hallgatointezmeny-kar"/>
              <w:rPr>
                <w:b/>
                <w:caps/>
              </w:rPr>
            </w:pPr>
            <w:r>
              <w:t>Corvinus University of Budapest</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László Kovács</w:t>
            </w:r>
          </w:p>
          <w:p w:rsidR="00DB4822" w:rsidRDefault="00DB4822" w:rsidP="00BA6BAF">
            <w:pPr>
              <w:pStyle w:val="Konzulensektitulus"/>
            </w:pPr>
            <w:r w:rsidRPr="00DB4822">
              <w:t>Senior Lecturer, BCE MSMI</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 Modeling and forecasting the total fertility rate in Hungary</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fertility rate; machine learning; time series; modeling; prediction</w:t>
      </w:r>
      <w:r>
        <w:t xml:space="preserve"/>
      </w:r>
    </w:p>
    <w:p>
      <w:pPr>
        <w:widowControl w:val="on"/>
        <w:pBdr/>
        <w:spacing w:before="240" w:after="240" w:line="240" w:lineRule="auto"/>
        <w:ind w:left="0" w:right="0"/>
        <w:jc w:val="left"/>
      </w:pPr>
      <w:r>
        <w:rPr>
          <w:color w:val="000000"/>
          <w:sz w:val="24"/>
          <w:szCs w:val="24"/>
        </w:rPr>
        <w:t xml:space="preserve">The development of a country’s population size has a direct and significant impact on its economy, making its modeling essential. The total fertility rate effectively describes and approximates the changes in a country’s population from multiple perspectives. Over recent years, the study and forecasting of this metric have gained increasing attention across Europe. The reason is understandable: the fertility rate mentioned above does not reach the 2.1 population level needed to maintain the population in any European country (p. c.). Moreover, the indicator typically exhibits a declining trend over time. The importance of this topic is also underlined by the fact that, unlike the mortality rate, for example, the total fertility rate has no well-developed modelling literature.</w:t>
      </w:r>
    </w:p>
    <w:p>
      <w:pPr>
        <w:widowControl w:val="on"/>
        <w:pBdr/>
        <w:spacing w:before="240" w:after="240" w:line="240" w:lineRule="auto"/>
        <w:ind w:left="0" w:right="0"/>
        <w:jc w:val="left"/>
      </w:pPr>
      <w:r>
        <w:rPr>
          <w:color w:val="000000"/>
          <w:sz w:val="24"/>
          <w:szCs w:val="24"/>
        </w:rPr>
        <w:t xml:space="preserve">My research is motivated by the timeliness of the topic, the shortcomings in the field of modeling, and the opportunities arising from these gaps. I modeled the Hungarian total fertility rate (TFR) over the time series from 1949 to 2022 using seven methods, including the UN’s BayesTFR model, as well as ARIMAX, Prophet, random forest, XGBoost, ARIMAboost, and ProphetBoost models. For the period between 1949–2012, I optimized the models’ hyperparameters, while for the test period between 2013–2022, I evaluated and compared their performance using popular time series evaluation metrics (e.g., RMSE, MAPE).</w:t>
      </w:r>
    </w:p>
    <w:p>
      <w:pPr>
        <w:widowControl w:val="on"/>
        <w:pBdr/>
        <w:spacing w:before="240" w:after="240" w:line="240" w:lineRule="auto"/>
        <w:ind w:left="0" w:right="0"/>
        <w:jc w:val="left"/>
      </w:pPr>
      <w:r>
        <w:rPr>
          <w:color w:val="000000"/>
          <w:sz w:val="24"/>
          <w:szCs w:val="24"/>
        </w:rPr>
        <w:t xml:space="preserve">Among the models, the ARIMAboost model performed the best during the validation period based on the MAPE metric, which served as the basis for comparison. Consequently, I retrained this model on the full time series (the period between 1949–2022) and made projections up to 2070, in alignment with the Central Statistical Office’s forecast period.</w:t>
      </w:r>
    </w:p>
    <w:p>
      <w:pPr>
        <w:widowControl w:val="on"/>
        <w:pBdr/>
        <w:spacing w:before="240" w:after="240" w:line="240" w:lineRule="auto"/>
        <w:ind w:left="0" w:right="0"/>
        <w:jc w:val="left"/>
      </w:pPr>
      <w:r>
        <w:rPr>
          <w:color w:val="000000"/>
          <w:sz w:val="24"/>
          <w:szCs w:val="24"/>
        </w:rPr>
        <w:t xml:space="preserve">Overall, the results indicate that traditional time series-based models outperform other approaches in modeling the Hungarian TFR. Nevertheless, cemplementing them with machine learning techniques can significantly improve the accuracy of the estimates. Therefore, the combined application of both model families could be a worthwhile approach for modeling the TFR time series.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0485496">
    <w:multiLevelType w:val="hybridMultilevel"/>
    <w:lvl w:ilvl="0" w:tplc="6651099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0485496">
    <w:abstractNumId w:val="6048549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8764279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