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OLÁH TAMÁS GERGŐ</w:t>
            </w:r>
          </w:p>
          <w:p w:rsidR="00C275A3" w:rsidRDefault="00CA6B74" w:rsidP="00C275A3">
            <w:pPr>
              <w:pStyle w:val="Hallgatokepzes"/>
            </w:pPr>
            <w:r w:rsidRPr="001067CD">
              <w:rPr>
                <w:i/>
              </w:rPr>
              <w:t>tamas.olah@andrassyuni.hu</w:t>
            </w:r>
            <w:r w:rsidRPr="001067CD">
              <w:rPr>
                <w:i/>
              </w:rPr>
              <w:br/>
            </w:r>
            <w:r w:rsidR="00A96AEC">
              <w:t>Nemzetközi tanulmányok</w:t>
            </w:r>
            <w:r w:rsidR="00A96AEC">
              <w:br/>
            </w:r>
            <w:r w:rsidR="00E77B23">
              <w:t>MA, 6.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Matura Tamás Attila</w:t>
            </w:r>
          </w:p>
          <w:p w:rsidR="00DB4822" w:rsidRDefault="00DB4822" w:rsidP="00BA6BAF">
            <w:pPr>
              <w:pStyle w:val="Konzulensektitulus"/>
            </w:pPr>
            <w:r w:rsidRPr="00DB4822">
              <w:t>egyetemi docens, BCE NPRTI</w:t>
            </w:r>
          </w:p>
        </w:tc>
      </w:tr>
      <w:tr w:rsidR="00DB4822" w:rsidTr="00DB4822">
        <w:tc>
          <w:tcPr>
            <w:tcW w:w="9854" w:type="dxa"/>
          </w:tcPr>
          <w:p w:rsidR="00DB4822" w:rsidRPr="00DB4822" w:rsidRDefault="00DB4822" w:rsidP="00BA6BAF">
            <w:pPr>
              <w:pStyle w:val="Konzulenseknev"/>
            </w:pPr>
            <w:r w:rsidRPr="00DB4822">
              <w:t>Balázs Ádám Bence</w:t>
            </w:r>
          </w:p>
          <w:p w:rsidR="00DB4822" w:rsidRDefault="00DB4822" w:rsidP="00BA6BAF">
            <w:pPr>
              <w:pStyle w:val="Konzulensektitulus"/>
            </w:pPr>
            <w:r w:rsidRPr="00DB4822">
              <w:t>vendégoktató, ANNYE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Partner, versenytárs vagy rivális? A német Kína-stratégia egy turbulens időszakban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Németország; Kína; Európai Unió; civil hatalom</w:t>
      </w:r>
      <w:r>
        <w:t xml:space="preserve"/>
      </w:r>
    </w:p>
    <w:p>
      <w:pPr>
        <w:widowControl w:val="on"/>
        <w:pBdr/>
        <w:spacing w:before="240" w:after="240" w:line="240" w:lineRule="auto"/>
        <w:ind w:left="0" w:right="0"/>
        <w:jc w:val="left"/>
      </w:pPr>
      <w:r>
        <w:rPr>
          <w:color w:val="000000"/>
          <w:sz w:val="24"/>
          <w:szCs w:val="24"/>
        </w:rPr>
        <w:t xml:space="preserve">In recent years, the expanding global role of China and its complex interactions with the Member States of the European Union have garnered significant attention from researchers and international relations experts. Germany, as the EU’s largest economy and a major actor in global politics, holds a central position in China’s European strategy. Simultaneously, the rapid rise of Chinese influence in Europe introduces multifaceted challenges for Germany and other European countries, testing the resilience and adaptability of bilateral and multilateral partnerships. This paper examines the evolution of German-Chinese relations over the past decade, with a dual focus: first, evaluating the successes and challenges of this bilateral relationship; and second, analyzing the applicability of Hanns W. Maull’s concept of „civilian power” to Germany’s foreign policy toward China. The findings indicate that while economic interdependence between Berlin and Beijing has deepened, it has also created an asymmetrical relationship that increases Germany's vulnerability to external shocks, including geopolitical tensions and economic disruptions. Moreover, an analysis of primary and secondary sources demonstrates that the German Federal Government’s approach to China aligns with the principles of a civilian power, characterized by a commitment to peaceful engagement, trade-centric diplomacy, and multilateral cooperation. Germany’s strategy reflects a dual objective: leveraging bilateral relations to safeguard national economic and political interests while advancing the EU’s collective agenda of fostering stability, transparency, and mutual cooperation with China. Ultimately, this paper underscores the nuanced and evolving nature of German-Chinese relations, offering insights into how Germany balances its role as an individual actor and an EU member state in navigating the complexities of its partnership with China.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99870">
    <w:multiLevelType w:val="hybridMultilevel"/>
    <w:lvl w:ilvl="0" w:tplc="62260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99870">
    <w:abstractNumId w:val="674998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165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