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MATE TOTH</w:t>
            </w:r>
          </w:p>
          <w:p w:rsidR="00C275A3" w:rsidRDefault="00CA6B74" w:rsidP="00C275A3">
            <w:pPr>
              <w:pStyle w:val="Hallgatokepzes"/>
            </w:pPr>
            <w:r w:rsidRPr="001067CD">
              <w:rPr>
                <w:i/>
              </w:rPr>
              <w:t>tothandris9@gmail.com</w:t>
            </w:r>
            <w:r w:rsidRPr="001067CD">
              <w:rPr>
                <w:i/>
              </w:rPr>
              <w:br/>
            </w:r>
            <w:r w:rsidR="00A96AEC">
              <w:t>International Business</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Orsolya Diofasi-Kovacs</w:t>
            </w:r>
          </w:p>
          <w:p w:rsidR="00DB4822" w:rsidRDefault="00DB4822" w:rsidP="00BA6BAF">
            <w:pPr>
              <w:pStyle w:val="Konzulensektitulus"/>
            </w:pPr>
            <w:r w:rsidRPr="00DB4822">
              <w:t>senior lecturer, BCE VFI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Circularity and sustainability in food supply chains, actions to achieve food waste reduction – Case study of the Public Catering Service Provider of Budapest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Food; waste; ÉSZGSZ; public catering; circularity</w:t>
      </w:r>
      <w:r>
        <w:t xml:space="preserve"/>
      </w:r>
    </w:p>
    <w:p>
      <w:pPr>
        <w:widowControl w:val="on"/>
        <w:pBdr/>
        <w:spacing w:before="240" w:after="240" w:line="240" w:lineRule="auto"/>
        <w:ind w:left="0" w:right="0"/>
        <w:jc w:val="left"/>
      </w:pPr>
      <w:r>
        <w:rPr>
          <w:color w:val="000000"/>
          <w:sz w:val="24"/>
          <w:szCs w:val="24"/>
        </w:rPr>
        <w:t xml:space="preserve">The core of this research is summarized in the central question: Where does food waste occur at a public catering service provider and how can it be reduced? The issue is explored through ÉSZGSZ, the entity overseeing food quality and supply chain management in many Budapest's public schools.</w:t>
      </w:r>
    </w:p>
    <w:p>
      <w:pPr>
        <w:widowControl w:val="on"/>
        <w:pBdr/>
        <w:spacing w:before="240" w:after="240" w:line="240" w:lineRule="auto"/>
        <w:ind w:left="0" w:right="0"/>
        <w:jc w:val="left"/>
      </w:pPr>
      <w:r>
        <w:rPr>
          <w:color w:val="000000"/>
          <w:sz w:val="24"/>
          <w:szCs w:val="24"/>
        </w:rPr>
        <w:br/>
        <w:t xml:space="preserve">The literature review highlights the alarming global issue of food waste, shedding light on the significant amount of food wasted worldwide. The research explores the differences between linear and circular supply chains and delves into the principles of the 3R concept: reduce, reuse, and recycle. Challenges faced by food suppliers in transitioning to circularity are identified, offering insight into the barriers hindering progress in this area.</w:t>
      </w:r>
    </w:p>
    <w:p>
      <w:pPr>
        <w:widowControl w:val="on"/>
        <w:pBdr/>
        <w:spacing w:before="240" w:after="240" w:line="240" w:lineRule="auto"/>
        <w:ind w:left="0" w:right="0"/>
        <w:jc w:val="left"/>
      </w:pPr>
      <w:r>
        <w:rPr>
          <w:color w:val="000000"/>
          <w:sz w:val="24"/>
          <w:szCs w:val="24"/>
        </w:rPr>
        <w:br/>
        <w:t xml:space="preserve">Further analysis focuses on public school food provisions, examining relevant literature and EU directives such as the Farm to Fork strategy, particularly the SF4C project. The problem analysis specifically targets the public catering provider in Budapest, ÉSZGSZ, detailing the organization’s structure and revealing four main points of waste occurrence: suppliers, organizational processes, kitchen operations, and dining areas.</w:t>
      </w:r>
    </w:p>
    <w:p>
      <w:pPr>
        <w:widowControl w:val="on"/>
        <w:pBdr/>
        <w:spacing w:before="240" w:after="240" w:line="240" w:lineRule="auto"/>
        <w:ind w:left="0" w:right="0"/>
        <w:jc w:val="left"/>
      </w:pPr>
      <w:r>
        <w:rPr>
          <w:color w:val="000000"/>
          <w:sz w:val="24"/>
          <w:szCs w:val="24"/>
        </w:rPr>
        <w:br/>
        <w:t xml:space="preserve">The recent improvements toward sustainability are discussed, including the adoption of low-energy kitchen appliances and the involvement of five schools in the Hungarian Foodbank Association, which saves leftover food. The analysis compares the challenges faced by food suppliers and a public catering service provider. Furthermore, the goals set by the EU’s SF4C project are highlighted concerning ÉSZGSZ.</w:t>
      </w:r>
    </w:p>
    <w:p>
      <w:pPr>
        <w:widowControl w:val="on"/>
        <w:pBdr/>
        <w:spacing w:before="240" w:after="240" w:line="240" w:lineRule="auto"/>
        <w:ind w:left="0" w:right="0"/>
        <w:jc w:val="left"/>
      </w:pPr>
      <w:r>
        <w:rPr>
          <w:color w:val="000000"/>
          <w:sz w:val="24"/>
          <w:szCs w:val="24"/>
        </w:rPr>
        <w:br/>
        <w:t xml:space="preserve">The recommendations include expanding participation in the Hungarian Foodbank initiatives. Besides the five schools under ÉSZGSZ others should start to cooperate. The regulations must be revised, including more time for children to eat, and providing larger dining areas with decorations and posters about healthy eating habits. In order to improve the food quality, further education and training is needed for kitchen staff. There must be more attention put into to the introduction of healthier and plant-based meal options, and lastly, implementing self-service serving, where children decide what type of meal and how much they want to consume in order to minimize both the served and unserved food waste.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61779">
    <w:multiLevelType w:val="hybridMultilevel"/>
    <w:lvl w:ilvl="0" w:tplc="21980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61779">
    <w:abstractNumId w:val="268617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12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