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MÁTYÁS PATAKI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mtyspataki@gmail.com</w:t>
            </w:r>
            <w:r w:rsidRPr="001067CD">
              <w:rPr>
                <w:i/>
              </w:rPr>
              <w:br/>
            </w:r>
            <w:r w:rsidR="00A96AEC">
              <w:t>Marketing strategy and innovation</w:t>
            </w:r>
            <w:r w:rsidR="00A96AEC">
              <w:br/>
            </w:r>
            <w:r w:rsidR="00E77B23">
              <w:t>MSc, 2.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Dóra Horváth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 and head of department, BCE MI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Attila Róbert Cosovan</w:t>
            </w:r>
          </w:p>
          <w:p w:rsidR="00DB4822" w:rsidRDefault="00DB4822" w:rsidP="00BA6BAF">
            <w:pPr>
              <w:pStyle w:val="Konzulensektitulus"/>
            </w:pPr>
            <w:r w:rsidRPr="00DB4822">
              <w:t>professor, BCE 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Semiotising the film auteur – A conceptual model of brand identity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auteur; brand identity; brandscape; film; semiotics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film industry is an inherently risky landscape as the production of motion pictures require</w:t>
      </w:r>
      <w:r>
        <w:rPr>
          <w:color w:val="000000"/>
          <w:sz w:val="24"/>
          <w:szCs w:val="24"/>
        </w:rPr>
        <w:br/>
        <w:t xml:space="preserve">extensive resources, much of which is reserved for marketing communications. However, the film</w:t>
      </w:r>
      <w:r>
        <w:rPr>
          <w:color w:val="000000"/>
          <w:sz w:val="24"/>
          <w:szCs w:val="24"/>
        </w:rPr>
        <w:br/>
        <w:t xml:space="preserve">marketing enterprise is obscured by the lack of literature to the purpose. As of now, corporal</w:t>
      </w:r>
      <w:r>
        <w:rPr>
          <w:color w:val="000000"/>
          <w:sz w:val="24"/>
          <w:szCs w:val="24"/>
        </w:rPr>
        <w:br/>
        <w:t xml:space="preserve">contingencies have been disproportionately privileged by the academic community, delaying the</w:t>
      </w:r>
      <w:r>
        <w:rPr>
          <w:color w:val="000000"/>
          <w:sz w:val="24"/>
          <w:szCs w:val="24"/>
        </w:rPr>
        <w:br/>
        <w:t xml:space="preserve">understanding of more artistically entangled subjects, such as creative personnel of the industry. To</w:t>
      </w:r>
      <w:r>
        <w:rPr>
          <w:color w:val="000000"/>
          <w:sz w:val="24"/>
          <w:szCs w:val="24"/>
        </w:rPr>
        <w:br/>
        <w:t xml:space="preserve">recoup for this palpable scarcity in branding research, the following paper conceptualises the brand</w:t>
      </w:r>
      <w:r>
        <w:rPr>
          <w:color w:val="000000"/>
          <w:sz w:val="24"/>
          <w:szCs w:val="24"/>
        </w:rPr>
        <w:br/>
        <w:t xml:space="preserve">identity of film directors who possess high dimensionality of auteurism. The author opted for semiotics to</w:t>
      </w:r>
      <w:r>
        <w:rPr>
          <w:color w:val="000000"/>
          <w:sz w:val="24"/>
          <w:szCs w:val="24"/>
        </w:rPr>
        <w:br/>
        <w:t xml:space="preserve">fulfil the demands of the interdisciplinary construct, hence the multifold reasoning behind the paper’s</w:t>
      </w:r>
      <w:r>
        <w:rPr>
          <w:color w:val="000000"/>
          <w:sz w:val="24"/>
          <w:szCs w:val="24"/>
        </w:rPr>
        <w:br/>
        <w:t xml:space="preserve">semiotic approach. Firstly, it draws parallels between brands and signs to seal the semiotic</w:t>
      </w:r>
      <w:r>
        <w:rPr>
          <w:color w:val="000000"/>
          <w:sz w:val="24"/>
          <w:szCs w:val="24"/>
        </w:rPr>
        <w:br/>
        <w:t xml:space="preserve">rapprochement between the aspiring brand elements of the auteur identity by means of inductive</w:t>
      </w:r>
      <w:r>
        <w:rPr>
          <w:color w:val="000000"/>
          <w:sz w:val="24"/>
          <w:szCs w:val="24"/>
        </w:rPr>
        <w:br/>
        <w:t xml:space="preserve">reasoning. Secondly, the principles of film semiotics provide the necessary scaffolding to handle</w:t>
      </w:r>
      <w:r>
        <w:rPr>
          <w:color w:val="000000"/>
          <w:sz w:val="24"/>
          <w:szCs w:val="24"/>
        </w:rPr>
        <w:br/>
        <w:t xml:space="preserve">artistically intricate auteur attributes such as pictorial style and narrative cues as signs, simultaneously</w:t>
      </w:r>
      <w:r>
        <w:rPr>
          <w:color w:val="000000"/>
          <w:sz w:val="24"/>
          <w:szCs w:val="24"/>
        </w:rPr>
        <w:br/>
        <w:t xml:space="preserve">expanding their capacity to effectively exhibit the brand phenomenon. Thirdly, the paper’s model</w:t>
      </w:r>
      <w:r>
        <w:rPr>
          <w:color w:val="000000"/>
          <w:sz w:val="24"/>
          <w:szCs w:val="24"/>
        </w:rPr>
        <w:br/>
        <w:t xml:space="preserve">operates on a semiotically reinforced brandscape basis, which facilitates the recognition,</w:t>
      </w:r>
      <w:r>
        <w:rPr>
          <w:color w:val="000000"/>
          <w:sz w:val="24"/>
          <w:szCs w:val="24"/>
        </w:rPr>
        <w:br/>
        <w:t xml:space="preserve">understanding and configuration of the auteur’s integrated identity. In spite of the fact that the focal</w:t>
      </w:r>
      <w:r>
        <w:rPr>
          <w:color w:val="000000"/>
          <w:sz w:val="24"/>
          <w:szCs w:val="24"/>
        </w:rPr>
        <w:br/>
        <w:t xml:space="preserve">subject of the paper coexists with sparse literature in terms of branding, some extant theories and</w:t>
      </w:r>
      <w:r>
        <w:rPr>
          <w:color w:val="000000"/>
          <w:sz w:val="24"/>
          <w:szCs w:val="24"/>
        </w:rPr>
        <w:br/>
        <w:t xml:space="preserve">constructs were found to be highly applicable, such as the film brandscape and the human brand</w:t>
      </w:r>
      <w:r>
        <w:rPr>
          <w:color w:val="000000"/>
          <w:sz w:val="24"/>
          <w:szCs w:val="24"/>
        </w:rPr>
        <w:br/>
        <w:t xml:space="preserve">identity typology of directors. Once examined through the lens of semiotics, the film auteur’s œuvre</w:t>
      </w:r>
      <w:r>
        <w:rPr>
          <w:color w:val="000000"/>
          <w:sz w:val="24"/>
          <w:szCs w:val="24"/>
        </w:rPr>
        <w:br/>
        <w:t xml:space="preserve">can be established as collection of cultural texts from which the auteur’s identity ultimately emerges.</w:t>
      </w:r>
      <w:r>
        <w:rPr>
          <w:color w:val="000000"/>
          <w:sz w:val="24"/>
          <w:szCs w:val="24"/>
        </w:rPr>
        <w:br/>
        <w:t xml:space="preserve">Fundamentally, the auteur identity is bisected into two: (i) the auteur’s body of work and the (ii)</w:t>
      </w:r>
      <w:r>
        <w:rPr>
          <w:color w:val="000000"/>
          <w:sz w:val="24"/>
          <w:szCs w:val="24"/>
        </w:rPr>
        <w:br/>
        <w:t xml:space="preserve">effective person of the auteur as a simultaneously professional and non-praxis individuality.</w:t>
      </w:r>
      <w:r>
        <w:rPr>
          <w:color w:val="000000"/>
          <w:sz w:val="24"/>
          <w:szCs w:val="24"/>
        </w:rPr>
        <w:br/>
        <w:t xml:space="preserve">Succeedingly, the director’s œuvre is further split into its film-specific and archetypal characteristics.</w:t>
      </w:r>
      <w:r>
        <w:rPr>
          <w:color w:val="000000"/>
          <w:sz w:val="24"/>
          <w:szCs w:val="24"/>
        </w:rPr>
        <w:br/>
        <w:t xml:space="preserve">Thus, the integrated brand identity of the auteur materialises in three distinct categories of signs: (i)</w:t>
      </w:r>
      <w:r>
        <w:rPr>
          <w:color w:val="000000"/>
          <w:sz w:val="24"/>
          <w:szCs w:val="24"/>
        </w:rPr>
        <w:br/>
        <w:t xml:space="preserve">the filmographic identity; (ii) the cinematic identity; and the (iii) personal identity.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995263">
    <w:multiLevelType w:val="hybridMultilevel"/>
    <w:lvl w:ilvl="0" w:tplc="941636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995263">
    <w:abstractNumId w:val="659952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77569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