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SZUNYOG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boriszunyog@gmail.com</w:t>
            </w:r>
            <w:r w:rsidRPr="001067CD">
              <w:rPr>
                <w:i/>
              </w:rPr>
              <w:br/>
            </w:r>
            <w:r w:rsidR="00A96AEC">
              <w:t>PPKE-ITK Molekuláris bionika mérnöki alapszak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Gallai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 már a válság előtt – Az Európai Unió 2015 előtti menekültügyi rendszerének problémái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EU; menekültpolitika; migráció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Európai Unió menekültügyi rendszerének problémáit vizsgálja meg a 2015-</w:t>
      </w:r>
      <w:r>
        <w:rPr>
          <w:color w:val="000000"/>
          <w:sz w:val="24"/>
          <w:szCs w:val="24"/>
        </w:rPr>
        <w:br/>
        <w:t xml:space="preserve">ös menekültügyi válság előtti évtizedben. A dolgozat a menedékkérőket illető jogok,</w:t>
      </w:r>
      <w:r>
        <w:rPr>
          <w:color w:val="000000"/>
          <w:sz w:val="24"/>
          <w:szCs w:val="24"/>
        </w:rPr>
        <w:br/>
        <w:t xml:space="preserve">valamint a menedékkérőkkel szemben, hatósági szervek által tanúsított bánásmód közötti</w:t>
      </w:r>
      <w:r>
        <w:rPr>
          <w:color w:val="000000"/>
          <w:sz w:val="24"/>
          <w:szCs w:val="24"/>
        </w:rPr>
        <w:br/>
        <w:t xml:space="preserve">ellentmondást tárja fel. Történetileg áttekinti a menedékkérők jogállását szabályozó</w:t>
      </w:r>
      <w:r>
        <w:rPr>
          <w:color w:val="000000"/>
          <w:sz w:val="24"/>
          <w:szCs w:val="24"/>
        </w:rPr>
        <w:br/>
        <w:t xml:space="preserve">nemzetközi dokumentumok létrejöttének okait és körülményeit. A dolgozat az Egyesült</w:t>
      </w:r>
      <w:r>
        <w:rPr>
          <w:color w:val="000000"/>
          <w:sz w:val="24"/>
          <w:szCs w:val="24"/>
        </w:rPr>
        <w:br/>
        <w:t xml:space="preserve">Nemzetek Szervezetének menekültügyi jogszabályai, valamint az Európai Unió</w:t>
      </w:r>
      <w:r>
        <w:rPr>
          <w:color w:val="000000"/>
          <w:sz w:val="24"/>
          <w:szCs w:val="24"/>
        </w:rPr>
        <w:br/>
        <w:t xml:space="preserve">menekültügyi irányelvei alapján megvizsgálja a menekültstátusz jogi keretrendszerét, a</w:t>
      </w:r>
      <w:r>
        <w:rPr>
          <w:color w:val="000000"/>
          <w:sz w:val="24"/>
          <w:szCs w:val="24"/>
        </w:rPr>
        <w:br/>
        <w:t xml:space="preserve">menedékkérők jogait, továbbá az őket fogadó országok jogi kötelezettségeit velük szemben.</w:t>
      </w:r>
      <w:r>
        <w:rPr>
          <w:color w:val="000000"/>
          <w:sz w:val="24"/>
          <w:szCs w:val="24"/>
        </w:rPr>
        <w:br/>
        <w:t xml:space="preserve">A dolgozat elemzésében olyan, az Európai Unió tagállamai által már 2015 előtt alkalmazott</w:t>
      </w:r>
      <w:r>
        <w:rPr>
          <w:color w:val="000000"/>
          <w:sz w:val="24"/>
          <w:szCs w:val="24"/>
        </w:rPr>
        <w:br/>
        <w:t xml:space="preserve">migrációpolitikai eljárásokkal foglalkozik, amik jogilag megkérdőjelezhetőnek minősültek. A</w:t>
      </w:r>
      <w:r>
        <w:rPr>
          <w:color w:val="000000"/>
          <w:sz w:val="24"/>
          <w:szCs w:val="24"/>
        </w:rPr>
        <w:br/>
        <w:t xml:space="preserve">dolgozat külön tárgyalja a menedékjogi kérelmek elbírálási módját, a határ menti halálesetek</w:t>
      </w:r>
      <w:r>
        <w:rPr>
          <w:color w:val="000000"/>
          <w:sz w:val="24"/>
          <w:szCs w:val="24"/>
        </w:rPr>
        <w:br/>
        <w:t xml:space="preserve">okait, a „területen kívüliség fikciójának” jelenségét, a menekülttáborokat, valamint a</w:t>
      </w:r>
      <w:r>
        <w:rPr>
          <w:color w:val="000000"/>
          <w:sz w:val="24"/>
          <w:szCs w:val="24"/>
        </w:rPr>
        <w:br/>
        <w:t xml:space="preserve">kitoloncolás procedúráját. A dolgozat civil szervezetek beszámolói alapján azt találta, hogy</w:t>
      </w:r>
      <w:r>
        <w:rPr>
          <w:color w:val="000000"/>
          <w:sz w:val="24"/>
          <w:szCs w:val="24"/>
        </w:rPr>
        <w:br/>
        <w:t xml:space="preserve">sokszor a fogadóországok jogi kiskapuk alkalmazásával megkerülték a menekültügyi</w:t>
      </w:r>
      <w:r>
        <w:rPr>
          <w:color w:val="000000"/>
          <w:sz w:val="24"/>
          <w:szCs w:val="24"/>
        </w:rPr>
        <w:br/>
        <w:t xml:space="preserve">kötelességeiket. Ezáltal pedig a menedékkérőket megillető alapvető emberi jogok szenvedtek</w:t>
      </w:r>
      <w:r>
        <w:rPr>
          <w:color w:val="000000"/>
          <w:sz w:val="24"/>
          <w:szCs w:val="24"/>
        </w:rPr>
        <w:br/>
        <w:t xml:space="preserve">csorbát. A dolgozat arra keresi a választ, hogy a gyakorlatban az Európai Unió tagállamai</w:t>
      </w:r>
      <w:r>
        <w:rPr>
          <w:color w:val="000000"/>
          <w:sz w:val="24"/>
          <w:szCs w:val="24"/>
        </w:rPr>
        <w:br/>
        <w:t xml:space="preserve">miért nem tartották be az uniós menekültügyi irányelveket, valamint miért nem biztosították a</w:t>
      </w:r>
      <w:r>
        <w:rPr>
          <w:color w:val="000000"/>
          <w:sz w:val="24"/>
          <w:szCs w:val="24"/>
        </w:rPr>
        <w:br/>
        <w:t xml:space="preserve">menedékkérőket megillető jogokat. A dolgozat amellett érvel, hogy a médiában a migrációról</w:t>
      </w:r>
      <w:r>
        <w:rPr>
          <w:color w:val="000000"/>
          <w:sz w:val="24"/>
          <w:szCs w:val="24"/>
        </w:rPr>
        <w:br/>
        <w:t xml:space="preserve">kialakított hamis kép; a tagállamok nemzetállami érdekérvényesítése; valamint az nemzetközi</w:t>
      </w:r>
      <w:r>
        <w:rPr>
          <w:color w:val="000000"/>
          <w:sz w:val="24"/>
          <w:szCs w:val="24"/>
        </w:rPr>
        <w:br/>
        <w:t xml:space="preserve">dokumentumok jogértelmezési nehézségei is állhattak a menekültügyi irányelvek és azok</w:t>
      </w:r>
      <w:r>
        <w:rPr>
          <w:color w:val="000000"/>
          <w:sz w:val="24"/>
          <w:szCs w:val="24"/>
        </w:rPr>
        <w:br/>
        <w:t xml:space="preserve">gyakorlati alkalmazása közötti diszkrepancia mögött.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24323">
    <w:multiLevelType w:val="hybridMultilevel"/>
    <w:lvl w:ilvl="0" w:tplc="72240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24323">
    <w:abstractNumId w:val="49524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820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