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SÉLLEY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anna.selley@stud.uni-corvinus.hu</w:t>
            </w:r>
            <w:r w:rsidRPr="001067CD">
              <w:rPr>
                <w:i/>
              </w:rPr>
              <w:br/>
            </w:r>
            <w:r w:rsidR="00A96AEC">
              <w:t>Nemzetközi tanulmányok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Bradean Nelu</w:t>
            </w:r>
          </w:p>
          <w:p w:rsidR="00DB4822" w:rsidRDefault="00DB4822" w:rsidP="00BA6BAF">
            <w:pPr>
              <w:pStyle w:val="Konzulensektitulus"/>
            </w:pPr>
            <w:r w:rsidRPr="00DB4822">
              <w:t>ny. egyetemi tanár,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osztrák külpolitika az osztrák–magyar kapcsolatok és Közép-Európa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osztrák külpolitika; osztrák–magyar kapcsolatok; Közép-Európa; diplomácia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osztrák külpolitikát mutatja be az osztrák–magyar kapcsolatok és Közép-Európa vonatkozásában. Az időkeret 2010-től napjainkig terjed. Az elemzés egyrészt arra keresi a választ, hogy mi jellemzi az osztrák külpolitikát az osztrák–magyar kapcsolatok és Közép-Európa tekintetében, másrészt arra, hogy miért lenne fontos a közép-európai együttműködés az osztrák érdekérvényesítés szempontjából az Európai Unióban. A mélyebb megértéshez értékes interjúk járulnak hozzá. Az eredményeket tekintve elmondható, hogy az osztrák külpolitika két vonása; a folytonosság és az Osztrák Néppárt befolyása meghatározó. Mindez számos következménnyel jár a kétoldalú kapcsolatokra és az osztrák Közép-Európa-politikára nézve. Továbbá a gazdasági érdekérvényesítés figyelemre méltó az osztrák külpolitikában. Az osztrák kisállamiság és kis tagállamiság, emellett a bizonyos mértékű osztrák politikai elszigeteltség az Európai Unióban mind afelé mutat, hogy Ausztria számára gyümölcsöző lenne a hosszú távú közép-európai együttműködés.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47778">
    <w:multiLevelType w:val="hybridMultilevel"/>
    <w:lvl w:ilvl="0" w:tplc="1566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47778">
    <w:abstractNumId w:val="571477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77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