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HUNOR KELEMEN</w:t>
            </w:r>
          </w:p>
          <w:p w:rsidR="00C275A3" w:rsidRDefault="00CA6B74" w:rsidP="00C275A3">
            <w:pPr>
              <w:pStyle w:val="Hallgatokepzes"/>
            </w:pPr>
            <w:r w:rsidRPr="001067CD">
              <w:rPr>
                <w:i/>
              </w:rPr>
              <w:t>hunor.kelemen98@gmail.com</w:t>
            </w:r>
            <w:r w:rsidRPr="001067CD">
              <w:rPr>
                <w:i/>
              </w:rPr>
              <w:br/>
            </w:r>
            <w:r w:rsidR="00A96AEC">
              <w:t>International Business</w:t>
            </w:r>
            <w:r w:rsidR="00A96AEC">
              <w:br/>
            </w:r>
            <w:r w:rsidR="00E77B23">
              <w:t>BSc, 8.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Sándor Gallai</w:t>
            </w:r>
          </w:p>
          <w:p w:rsidR="00DB4822" w:rsidRDefault="00DB4822" w:rsidP="00BA6BAF">
            <w:pPr>
              <w:pStyle w:val="Konzulensektitulus"/>
            </w:pPr>
            <w:r w:rsidRPr="00DB4822">
              <w:t>Associate professor, BCE NPRTI</w:t>
            </w:r>
          </w:p>
        </w:tc>
      </w:tr>
      <w:tr w:rsidR="00DB4822" w:rsidTr="00DB4822">
        <w:tc>
          <w:tcPr>
            <w:tcW w:w="9854" w:type="dxa"/>
          </w:tcPr>
          <w:p w:rsidR="00DB4822" w:rsidRPr="00DB4822" w:rsidRDefault="00DB4822" w:rsidP="00BA6BAF">
            <w:pPr>
              <w:pStyle w:val="Konzulenseknev"/>
            </w:pPr>
            <w:r w:rsidRPr="00DB4822">
              <w:t>Attila Szalay-Berzeviczy</w:t>
            </w:r>
          </w:p>
          <w:p w:rsidR="00DB4822" w:rsidRDefault="00DB4822" w:rsidP="00BA6BAF">
            <w:pPr>
              <w:pStyle w:val="Konzulensektitulus"/>
            </w:pPr>
            <w:r w:rsidRPr="00DB4822">
              <w:t>Senior Adviser,  Senior Adviser to the CEO of Erste Investment; Senior Adviser: Central and South - Eastern European Capital Markets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Investor expectations – impact of parliamentary elections on the Budapest Stock Exchange, 2010-2022</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event study; elections; stock market</w:t>
      </w:r>
      <w:r>
        <w:t xml:space="preserve"/>
      </w:r>
    </w:p>
    <w:p>
      <w:pPr>
        <w:widowControl w:val="on"/>
        <w:pBdr/>
        <w:spacing w:before="240" w:after="240" w:line="240" w:lineRule="auto"/>
        <w:ind w:left="0" w:right="0"/>
        <w:jc w:val="left"/>
      </w:pPr>
      <w:r>
        <w:rPr>
          <w:color w:val="000000"/>
          <w:sz w:val="24"/>
          <w:szCs w:val="24"/>
        </w:rPr>
        <w:t xml:space="preserve">The paper examines the impact of Hungarian parliamentary elections on the stock prices of major companies listed on the Budapest Stock Exchange from 2010 to 2022. Parliamentary elections, held every four years, can bring significant changes to the country's situation, government policies, and economic environment, all of which may influence the performance of the largest publicly traded companies. Elections only affect the market if the results deviate from investor expectations, causing a surprise. This resulting informational asymmetry can lead to significant volatility and high abnormal returns in the market. However, expectations surrounding Hungarian parliamentary elections after 2010 have increasingly aligned with the outcomes, leading to the absence of surprises and, consequently, abnormal returns. Based on the results, it can be concluded that the fact of the elections essentially has no impact on the stock market as a whole, but significant abnormal returns can occur in the case of certain stocks.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801021">
    <w:multiLevelType w:val="hybridMultilevel"/>
    <w:lvl w:ilvl="0" w:tplc="735038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801021">
    <w:abstractNumId w:val="328010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25573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