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OROVA</w:t>
            </w:r>
          </w:p>
          <w:p w:rsidR="00C275A3" w:rsidRDefault="00CA6B74" w:rsidP="00C275A3">
            <w:pPr>
              <w:pStyle w:val="Hallgatokepzes"/>
            </w:pPr>
            <w:r w:rsidRPr="001067CD">
              <w:rPr>
                <w:i/>
              </w:rPr>
              <w:t>orokatinka@gmail.com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Laura Hidegh</w:t>
            </w:r>
          </w:p>
          <w:p w:rsidR="00DB4822" w:rsidRDefault="00DB4822" w:rsidP="00BA6BAF">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Enabling Social Mobility Journey as a Way for Inclusive Excellence Potential initiatives for Corvinus University based on the example of a Szabó Kálmán Tehetségprogram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mobility; critical management studies; Bourdieu’s key concepts; Corvinus University of Budapest; Szabó Kálmán Tehetségprogram</w:t>
      </w:r>
      <w:r>
        <w:t xml:space="preserve"/>
      </w:r>
    </w:p>
    <w:p>
      <w:pPr>
        <w:widowControl w:val="on"/>
        <w:pBdr/>
        <w:spacing w:before="240" w:after="240" w:line="240" w:lineRule="auto"/>
        <w:ind w:left="0" w:right="0"/>
        <w:jc w:val="left"/>
      </w:pPr>
      <w:r>
        <w:rPr>
          <w:color w:val="000000"/>
          <w:sz w:val="24"/>
          <w:szCs w:val="24"/>
        </w:rPr>
        <w:t xml:space="preserve">Although Corvinus University of Budapest (CUB) mentions diversity and social responsiveness in its framework of excellence, social mobility is not currently a focus of the university. In comparison, 12 years ago, one of CUB’s advanced colleges, the Rajk College for Advanced Studies established the Szabó Kálmán Tehetségprogram (SzKTP), aiming to support ambitious high school students with financial aid and mentoring. The paper examines how the SzKTP enables social mobility through its various programme elements, as seen through Bourdieu's key concepts (field, capital and habitus) and proposes mobility initiatives for the development of the CUB in this regards. Adopting critical management studies and within it, a critical performativity perspective, it critiques existing practice, but also suggests solutions. For the theoretical background, the paper outlines CMS principles, Bourdieu’s concepts, the role of business schools, and Hungary's social and educational landscape. Interviews with SzKTP scholarship receivers and institutional actors are the main sources for the analysis. It delves into the current organisational framework of both SzKTP and CUB, maps out potential social mobility journeys and constraints, and evaluates SzKTP's impact through Bourdieu's key concepts. Ultimately, besides acknowledging already good practices (such as the establishment of Illyés Gyula Program) it proposes further improvements for CUB to foster inclusivity and diversity.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82675">
    <w:multiLevelType w:val="hybridMultilevel"/>
    <w:lvl w:ilvl="0" w:tplc="79432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82675">
    <w:abstractNumId w:val="79382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193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