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BENDEGÚZ GYŐZŐ HORVÁTH</w:t>
            </w:r>
          </w:p>
          <w:p w:rsidR="00C275A3" w:rsidRDefault="00CA6B74" w:rsidP="00C275A3">
            <w:pPr>
              <w:pStyle w:val="Hallgatokepzes"/>
            </w:pPr>
            <w:r w:rsidRPr="001067CD">
              <w:rPr>
                <w:i/>
              </w:rPr>
              <w:t>bendeguz.horvath2@stud.uni-corvinus.hu</w:t>
            </w:r>
            <w:r w:rsidRPr="001067CD">
              <w:rPr>
                <w:i/>
              </w:rPr>
              <w:br/>
            </w:r>
            <w:r w:rsidR="00A96AEC">
              <w:t>Economic and Financial Mathematical Analysis</w:t>
            </w:r>
            <w:r w:rsidR="00A96AEC">
              <w:br/>
            </w:r>
            <w:r w:rsidR="00E77B23">
              <w:t>Unified,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TAMÁS VIDA</w:t>
            </w:r>
          </w:p>
          <w:p w:rsidR="00DB4822" w:rsidRDefault="00CA6B74" w:rsidP="004D7940">
            <w:pPr>
              <w:pStyle w:val="Hallgatokepzes"/>
            </w:pPr>
            <w:r w:rsidRPr="001067CD">
              <w:rPr>
                <w:i/>
              </w:rPr>
              <w:t>vidatamas3@gmail.com</w:t>
            </w:r>
            <w:bookmarkStart w:id="1" w:name="_GoBack"/>
            <w:bookmarkEnd w:id="1"/>
            <w:r w:rsidRPr="001067CD">
              <w:br/>
            </w:r>
            <w:r w:rsidR="00C275A3">
              <w:t>Economic and Financial Mathematical Analysis</w:t>
            </w:r>
            <w:r w:rsidR="00A96AEC">
              <w:br/>
              <w:t>Unified,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Madari</w:t>
            </w:r>
          </w:p>
          <w:p w:rsidR="00DB4822" w:rsidRDefault="00DB4822" w:rsidP="00BA6BAF">
            <w:pPr>
              <w:pStyle w:val="Konzulensektitulus"/>
            </w:pPr>
            <w:r w:rsidRPr="00DB4822">
              <w:t>assistant lecturer, BCE MSMI</w:t>
            </w:r>
          </w:p>
        </w:tc>
      </w:tr>
      <w:tr w:rsidR="00DB4822" w:rsidTr="00DB4822">
        <w:tc>
          <w:tcPr>
            <w:tcW w:w="9854" w:type="dxa"/>
          </w:tcPr>
          <w:p w:rsidR="00DB4822" w:rsidRPr="00DB4822" w:rsidRDefault="00DB4822" w:rsidP="00BA6BAF">
            <w:pPr>
              <w:pStyle w:val="Konzulenseknev"/>
            </w:pPr>
            <w:r w:rsidRPr="00DB4822">
              <w:t>Tibor Keresztély</w:t>
            </w:r>
          </w:p>
          <w:p w:rsidR="00DB4822" w:rsidRDefault="00DB4822" w:rsidP="00BA6BAF">
            <w:pPr>
              <w:pStyle w:val="Konzulensektitulus"/>
            </w:pPr>
            <w:r w:rsidRPr="00DB4822">
              <w:t>associate professor,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wage gaps by foreign and domestic firm ownership and its spatial effects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Wage gap; foreign ownership; spatial autocorrelation; Blinder-Oaxaca decomposition</w:t>
      </w:r>
      <w:r>
        <w:t xml:space="preserve"/>
      </w:r>
    </w:p>
    <w:p>
      <w:pPr>
        <w:widowControl w:val="on"/>
        <w:pBdr/>
        <w:spacing w:before="240" w:after="240" w:line="240" w:lineRule="auto"/>
        <w:ind w:left="0" w:right="0"/>
        <w:jc w:val="left"/>
      </w:pPr>
      <w:r>
        <w:rPr>
          <w:color w:val="000000"/>
          <w:sz w:val="24"/>
          <w:szCs w:val="24"/>
        </w:rPr>
        <w:t xml:space="preserve">In our study, we analyzed the regional distribution of wages in Hungary and the differences based on domestic versus foreign ownership of companies for the years 2010, 2014, and 2018 using the Blinder-Oaxaca decomposition. In all three years, positive spatial autocorrelation was observed among district-level average wages, with higher average wage areas exhibiting greater wage concentration. Employees of companies without foreign ownership earned approximately 30-34% lower average wages, which can be broken down into a composition effect and an unexplained component. About half of the variation in average wages could not be explained by the distribution of employee and company characteristics, and this proportion remained nearly constant over the three years. In contrast, the magnitude of the composition effect decreased from 2010 to 2018. Companies with foreign ownership rewarded employees with higher education levels with higher wages, and the intercepts of the wage equations differed in ways not accounted for by the control variables. When examining the decomposition across counties, it was observed that the wage premium varied across different territorial units.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31171">
    <w:multiLevelType w:val="hybridMultilevel"/>
    <w:lvl w:ilvl="0" w:tplc="98433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31171">
    <w:abstractNumId w:val="287311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466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