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KONCZ</w:t>
            </w:r>
          </w:p>
          <w:p w:rsidR="00C275A3" w:rsidRDefault="00CA6B74" w:rsidP="00C275A3">
            <w:pPr>
              <w:pStyle w:val="Hallgatokepzes"/>
            </w:pPr>
            <w:r w:rsidRPr="001067CD">
              <w:rPr>
                <w:i/>
              </w:rPr>
              <w:t>koncz.peter@icloud.com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Xénia Szanyi-Gyenes</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Drivers behind the internationalization of the Hungarian businesses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innovation; internationalization; digitalization; globalization</w:t>
      </w:r>
      <w:r>
        <w:t xml:space="preserve"/>
      </w:r>
    </w:p>
    <w:p>
      <w:pPr>
        <w:widowControl w:val="on"/>
        <w:pBdr/>
        <w:spacing w:before="240" w:after="240" w:line="240" w:lineRule="auto"/>
        <w:ind w:left="0" w:right="0"/>
        <w:jc w:val="left"/>
      </w:pPr>
      <w:r>
        <w:rPr>
          <w:color w:val="000000"/>
          <w:sz w:val="24"/>
          <w:szCs w:val="24"/>
        </w:rPr>
        <w:t xml:space="preserve">Based on the scholarly model, there is a strong relationship amongst corporate competitiveness, innovation capabilities and internationalization. The factors are mutually interdependent, as internationalization affects competitiveness and innovation capabilities through various channels. In Hungary, an increasing number of authors highlight the danger of the middle-income trap, which can potentially be mitigated by improving the factors and interactions outlined in the scholarly model.</w:t>
      </w:r>
      <w:r>
        <w:rPr>
          <w:color w:val="000000"/>
          <w:sz w:val="24"/>
          <w:szCs w:val="24"/>
        </w:rPr>
        <w:br/>
        <w:t xml:space="preserve">The desk research revealed that the proportion of exporting companies increases with company size. According to the findings, these companies produce higher added value and perceive their innovation activities and competitiveness as superior compared to their competitors operating only the domestic market.</w:t>
      </w:r>
      <w:r>
        <w:rPr>
          <w:color w:val="000000"/>
          <w:sz w:val="24"/>
          <w:szCs w:val="24"/>
        </w:rPr>
        <w:br/>
        <w:t xml:space="preserve">To support the internationalization of Hungarian companies, the state must play an active role in the long-term development of human capital to address labor market challenges. In the short term, a decentralized, company-specific support system is needed, which considers domestic best practices. Additionally, the creation of a business environment conducive to enhancing corporate competitiveness and strengthening innovation activities is essential, thereby facilitating entry into international markets.</w:t>
      </w:r>
      <w:r>
        <w:rPr>
          <w:color w:val="000000"/>
          <w:sz w:val="24"/>
          <w:szCs w:val="24"/>
        </w:rPr>
        <w:br/>
        <w:t xml:space="preserve">A Paired-Sample T-Test indicated that companies operating exclusively in the domestic market must strengthen their formal structures, both generally and in the field of innovation mechanisms, to pursue internationalization. Greater attention should also be paid to digital processes, including the digital integration of sales channels and the digitization of internal and customer service processes. Progress is also required in understanding latent customer needs, with a conscious focus on experimentation and exploring new opportunities. To achieve operational excellence, business data analytics must be elevated to a strategic level, which first necessitates the implementation of process digitization.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17252">
    <w:multiLevelType w:val="hybridMultilevel"/>
    <w:lvl w:ilvl="0" w:tplc="59609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17252">
    <w:abstractNumId w:val="6501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329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