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ZSÓFIA PAPP</w:t>
            </w:r>
          </w:p>
          <w:p w:rsidR="00C275A3" w:rsidRDefault="00CA6B74" w:rsidP="00C275A3">
            <w:pPr>
              <w:pStyle w:val="Hallgatokepzes"/>
            </w:pPr>
            <w:r w:rsidRPr="001067CD">
              <w:rPr>
                <w:i/>
              </w:rPr>
              <w:t>papp.zsofia99@gmail.com</w:t>
            </w:r>
            <w:r w:rsidRPr="001067CD">
              <w:rPr>
                <w:i/>
              </w:rPr>
              <w:br/>
            </w:r>
            <w:r w:rsidR="00A96AEC">
              <w:t>Finance and accounting</w:t>
            </w:r>
            <w:r w:rsidR="00A96AEC">
              <w:br/>
            </w:r>
            <w:r w:rsidR="00E77B23">
              <w:t>BSc, 6.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Éva Gulyás</w:t>
            </w:r>
          </w:p>
          <w:p w:rsidR="00DB4822" w:rsidRDefault="00DB4822" w:rsidP="00BA6BAF">
            <w:pPr>
              <w:pStyle w:val="Konzulensektitulus"/>
            </w:pPr>
            <w:r w:rsidRPr="00DB4822">
              <w:t>senior lecturer, BCE GTK</w:t>
            </w:r>
          </w:p>
        </w:tc>
      </w:tr>
      <w:tr w:rsidR="00DB4822" w:rsidTr="00DB4822">
        <w:tc>
          <w:tcPr>
            <w:tcW w:w="9854" w:type="dxa"/>
          </w:tcPr>
          <w:p w:rsidR="00DB4822" w:rsidRPr="00DB4822" w:rsidRDefault="00DB4822" w:rsidP="00BA6BAF">
            <w:pPr>
              <w:pStyle w:val="Konzulenseknev"/>
            </w:pPr>
            <w:r w:rsidRPr="00DB4822">
              <w:t>Renáta Szilágyi</w:t>
            </w:r>
          </w:p>
          <w:p w:rsidR="00DB4822" w:rsidRDefault="00DB4822" w:rsidP="00BA6BAF">
            <w:pPr>
              <w:pStyle w:val="Konzulensektitulus"/>
            </w:pPr>
            <w:r w:rsidRPr="00DB4822">
              <w:t>PhD student,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Managing cryptocurrencies in international accounting - is there anything new under the sun?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cryptocurrency; accounting; financial statements; IASB; standard</w:t>
      </w:r>
      <w:r>
        <w:t xml:space="preserve"/>
      </w:r>
    </w:p>
    <w:p>
      <w:pPr>
        <w:widowControl w:val="on"/>
        <w:pBdr/>
        <w:spacing w:before="240" w:after="240" w:line="240" w:lineRule="auto"/>
        <w:ind w:left="0" w:right="0"/>
        <w:jc w:val="left"/>
      </w:pPr>
      <w:r>
        <w:rPr>
          <w:color w:val="000000"/>
          <w:sz w:val="24"/>
          <w:szCs w:val="24"/>
        </w:rPr>
        <w:t xml:space="preserve">Cryptocurrencies, which were created with the advent of blockchain technology, are extremely popular today. The novelty and complexity of cryptocurrencies creates difficulties in terms of their accounting classification, valuation and accounting. The subject of my study is the accounting regulation related to the presentation of cryptocurrencies in financial statements. The central research question of my thesis is what accounting solutions the International Accounting Standards Board (IASB) offers for the treatment and recording of cryptocurrencies, and what impact the application of these solutions has on the financial statements for different transactions. In the course of my research, I will analyse the options offered by international regulations and also look at domestic regulations. The result of the research is that different accounting classifications and valuations provide a different picture of the company. Which valuation is applicable depends on what the entity's purpose is with cryptocurrencies and how they came to be owned. In my thesis, I will also examine how accounting using the methods described affects the development of the financial statements. Among other things, how it affects the balance sheet structure, profit structure and other ratios. I will critique the current solutions and make recommendations for the accounting treatment of cryptocurrencies.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978120">
    <w:multiLevelType w:val="hybridMultilevel"/>
    <w:lvl w:ilvl="0" w:tplc="260632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978120">
    <w:abstractNumId w:val="119781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84311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