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STEPHEN KOSTYAL</w:t>
            </w:r>
          </w:p>
          <w:p w:rsidR="00C275A3" w:rsidRDefault="00CA6B74" w:rsidP="00C275A3">
            <w:pPr>
              <w:pStyle w:val="Hallgatokepzes"/>
            </w:pPr>
            <w:r w:rsidRPr="001067CD">
              <w:rPr>
                <w:i/>
              </w:rPr>
              <w:t>daniel.kostyal@stud.uni-corvinus.hu</w:t>
            </w:r>
            <w:r w:rsidRPr="001067CD">
              <w:rPr>
                <w:i/>
              </w:rPr>
              <w:br/>
            </w:r>
            <w:r w:rsidR="00A96AEC">
              <w:t>Management and Leadership</w:t>
            </w:r>
            <w:r w:rsidR="00A96AEC">
              <w:br/>
            </w:r>
            <w:r w:rsidR="00E77B23">
              <w:t>MSc,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Bence László Pistrui</w:t>
            </w:r>
          </w:p>
          <w:p w:rsidR="00DB4822" w:rsidRDefault="00DB4822" w:rsidP="00BA6BAF">
            <w:pPr>
              <w:pStyle w:val="Konzulensektitulus"/>
            </w:pPr>
            <w:r w:rsidRPr="00DB4822">
              <w:t>Assistant Professor, BCE VGI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Innovation in Hungarian retail through the eyes of senior managers and consumers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retail; innovation; technology; Hungary</w:t>
      </w:r>
      <w:r>
        <w:t xml:space="preserve"/>
      </w:r>
    </w:p>
    <w:p>
      <w:pPr>
        <w:widowControl w:val="on"/>
        <w:pBdr/>
        <w:spacing w:before="240" w:after="240" w:line="240" w:lineRule="auto"/>
        <w:ind w:left="0" w:right="0"/>
        <w:jc w:val="left"/>
      </w:pPr>
      <w:r>
        <w:rPr>
          <w:color w:val="000000"/>
          <w:sz w:val="24"/>
          <w:szCs w:val="24"/>
        </w:rPr>
        <w:t xml:space="preserve">The retail sector, traditionally regarded as a low-tech industry, has now evolved into one that employs numerous technological solutions. Several external factors contributed to this shift, including the COVID-19 pandemic and lockdowns, which pushed companies to strengthen their online and omnichannel business models. As consumer habits have also changed due to environmental influences, it is now more important than ever to track consumer behavior closely.</w:t>
      </w:r>
    </w:p>
    <w:p>
      <w:pPr>
        <w:widowControl w:val="on"/>
        <w:pBdr/>
        <w:spacing w:before="240" w:after="240" w:line="240" w:lineRule="auto"/>
        <w:ind w:left="0" w:right="0"/>
        <w:jc w:val="left"/>
      </w:pPr>
      <w:r>
        <w:rPr>
          <w:color w:val="000000"/>
          <w:sz w:val="24"/>
          <w:szCs w:val="24"/>
        </w:rPr>
        <w:t xml:space="preserve">One of the main tools for retailers to adapt is innovation. To achieve effective adaptation, it is essential that the perception of innovation among top executives aligns with that of consumers. My thesis explores this difference, with the main research question being: How is innovation represented in domestic retail, and how is it perceived by retail executives and consumers?</w:t>
      </w:r>
    </w:p>
    <w:p>
      <w:pPr>
        <w:widowControl w:val="on"/>
        <w:pBdr/>
        <w:spacing w:before="240" w:after="240" w:line="240" w:lineRule="auto"/>
        <w:ind w:left="0" w:right="0"/>
        <w:jc w:val="left"/>
      </w:pPr>
      <w:r>
        <w:rPr>
          <w:color w:val="000000"/>
          <w:sz w:val="24"/>
          <w:szCs w:val="24"/>
        </w:rPr>
        <w:t xml:space="preserve">My research, examining both the executive and consumer perspectives, was conducted in two phases. In the qualitative phase, I used a semi-structured interview methodology to explore the executive viewpoint. Based on thematic evaluation, I then created a consumer survey, which formed the second, quantitative phase of my research. For the survey analysis, I created consumer clusters based on various characteristics and examined each innovation factor by segment using correlation indicators. As a result, I gained a comprehensive view of both executive and consumer perspectives, allowing for a comparison between the two.</w:t>
      </w:r>
    </w:p>
    <w:p>
      <w:pPr>
        <w:widowControl w:val="on"/>
        <w:pBdr/>
        <w:spacing w:before="240" w:after="240" w:line="240" w:lineRule="auto"/>
        <w:ind w:left="0" w:right="0"/>
        <w:jc w:val="left"/>
      </w:pPr>
      <w:r>
        <w:rPr>
          <w:color w:val="000000"/>
          <w:sz w:val="24"/>
          <w:szCs w:val="24"/>
        </w:rPr>
        <w:t xml:space="preserve">The results showed that while there are many similarities in how retail innovation is perceived by executives and consumers, several differences also emerged. Regarding trends, both sides highlighted the perception of price increases caused by environmental crises. Executives believe that consumers attach little importance to back-end innovation; however, the research indicates that consumers show high interest in back-end innovation. Consumers display moderate openness to in-store process innovations, yet executives consider this a key area. Digital innovation solutions are deemed important by both executives and consumers, with mobile application solutions showing synergy with various in-store innovations. The research findings can add value for top executives in the domestic retail sector and for researchers focused on this field.</w:t>
      </w:r>
    </w:p>
    <w:p>
      <w:pPr>
        <w:widowControl w:val="on"/>
        <w:pBdr/>
        <w:spacing w:before="0" w:after="0" w:line="240" w:lineRule="auto"/>
        <w:ind w:left="0" w:right="0"/>
        <w:jc w:val="left"/>
      </w:pPr>
    </w:p>
    <w:p>
      <w:pPr>
        <w:widowControl w:val="on"/>
        <w:pBdr/>
        <w:spacing w:before="0" w:after="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237222">
    <w:multiLevelType w:val="hybridMultilevel"/>
    <w:lvl w:ilvl="0" w:tplc="926026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237222">
    <w:abstractNumId w:val="382372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93863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