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ÁRPÁD ZSÓK</w:t>
            </w:r>
          </w:p>
          <w:p w:rsidR="00C275A3" w:rsidRDefault="00CA6B74" w:rsidP="00C275A3">
            <w:pPr>
              <w:pStyle w:val="Hallgatokepzes"/>
            </w:pPr>
            <w:r w:rsidRPr="001067CD">
              <w:rPr>
                <w:i/>
              </w:rPr>
              <w:t>sandor.zsok12@gmail.com</w:t>
            </w:r>
            <w:r w:rsidRPr="001067CD">
              <w:rPr>
                <w:i/>
              </w:rPr>
              <w:br/>
            </w:r>
            <w:r w:rsidR="00A96AEC">
              <w:t>business administration</w:t>
            </w:r>
            <w:r w:rsidR="00A96AEC">
              <w:br/>
            </w:r>
            <w:r w:rsidR="00E77B23">
              <w:t>BSc, 10.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Loretta Huszák</w:t>
            </w:r>
          </w:p>
          <w:p w:rsidR="00DB4822" w:rsidRDefault="00DB4822" w:rsidP="00BA6BAF">
            <w:pPr>
              <w:pStyle w:val="Konzulensektitulus"/>
            </w:pPr>
            <w:r w:rsidRPr="00DB4822">
              <w:t>senior lecturer,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What’s next for kata taxpayer LP’s? The opportunities of limited partnerships following the new KATA law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taxation; entrepreneurship; limited partnership; small business; SME</w:t>
      </w:r>
      <w:r>
        <w:t xml:space="preserve"/>
      </w:r>
    </w:p>
    <w:p>
      <w:pPr>
        <w:widowControl w:val="on"/>
        <w:pBdr/>
        <w:spacing w:before="240" w:after="240" w:line="240" w:lineRule="auto"/>
        <w:ind w:left="0" w:right="0"/>
        <w:jc w:val="left"/>
      </w:pPr>
      <w:r>
        <w:rPr>
          <w:color w:val="000000"/>
          <w:sz w:val="24"/>
          <w:szCs w:val="24"/>
        </w:rPr>
        <w:t xml:space="preserve">In 2022, several entrepreneurs faced the impact of the new KATA law, which disrupted their day-to-day activities. One group of businesses was limited partnerships that had previously paid the KATA tax. This group was particularly negatively affected by the change, as they were completely excluded from the KATA and were forced to opt for another form of taxation.</w:t>
      </w:r>
    </w:p>
    <w:p>
      <w:pPr>
        <w:widowControl w:val="on"/>
        <w:pBdr/>
        <w:spacing w:before="240" w:after="240" w:line="240" w:lineRule="auto"/>
        <w:ind w:left="0" w:right="0"/>
        <w:jc w:val="left"/>
      </w:pPr>
      <w:r>
        <w:rPr>
          <w:color w:val="000000"/>
          <w:sz w:val="24"/>
          <w:szCs w:val="24"/>
        </w:rPr>
        <w:t xml:space="preserve">The tax forms available to them were corporate taxation (TAO) and small business taxation (KIVA), which offered vastly different options. The research found that the TAO was chosen by a much higher proportion, the most likely reasons being the very short time frame and the fact that the TAO choice was automatic, whereas the KIVA choice was subject to a declaration. In addition, almost one tenth of the companies decided to close down by the end of the year.</w:t>
      </w:r>
    </w:p>
    <w:p>
      <w:pPr>
        <w:widowControl w:val="on"/>
        <w:pBdr/>
        <w:spacing w:before="240" w:after="240" w:line="240" w:lineRule="auto"/>
        <w:ind w:left="0" w:right="0"/>
        <w:jc w:val="left"/>
      </w:pPr>
      <w:r>
        <w:rPr>
          <w:color w:val="000000"/>
          <w:sz w:val="24"/>
          <w:szCs w:val="24"/>
        </w:rPr>
        <w:t xml:space="preserve">The second half of the survey highlighted that although TAO was the most popular choice among limited partnerships previously subject to KATA, both in autumn 2022 and at the end of 2022, KIVA was more likely to be a preferable choice due to its favourable characteristics for the affected LPs. Despite its advantages, a disproportionately low number of LP opted for this tax type, suggesting that taxpayers had a lack of knowledge about the taxation options, which was confirmed by the experts interviewed.</w:t>
      </w:r>
    </w:p>
    <w:p>
      <w:pPr>
        <w:widowControl w:val="on"/>
        <w:pBdr/>
        <w:spacing w:before="240" w:after="240" w:line="240" w:lineRule="auto"/>
        <w:ind w:left="0" w:right="0"/>
        <w:jc w:val="left"/>
      </w:pPr>
      <w:r>
        <w:rPr>
          <w:color w:val="000000"/>
          <w:sz w:val="24"/>
          <w:szCs w:val="24"/>
        </w:rPr>
        <w:t xml:space="preserve">As a result, the steady decline in the number of limited partnerships over many years has accelerated and the future of this legal form has become uncertain.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75739">
    <w:multiLevelType w:val="hybridMultilevel"/>
    <w:lvl w:ilvl="0" w:tplc="57559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75739">
    <w:abstractNumId w:val="14275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537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