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ZSOLT VARGA</w:t>
            </w:r>
          </w:p>
          <w:p w:rsidR="00C275A3" w:rsidRDefault="00CA6B74" w:rsidP="00C275A3">
            <w:pPr>
              <w:pStyle w:val="Hallgatokepzes"/>
            </w:pPr>
            <w:r w:rsidRPr="001067CD">
              <w:rPr>
                <w:i/>
              </w:rPr>
              <w:t>matyas.varga@stud.uni-corvinus.hu</w:t>
            </w:r>
            <w:r w:rsidRPr="001067CD">
              <w:rPr>
                <w:i/>
              </w:rPr>
              <w:br/>
            </w:r>
            <w:r w:rsidR="00A96AEC">
              <w:t>International Business Economics</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Gábor Kerékgyártó</w:t>
            </w:r>
          </w:p>
          <w:p w:rsidR="00DB4822" w:rsidRDefault="00DB4822" w:rsidP="00BA6BAF">
            <w:pPr>
              <w:pStyle w:val="Konzulensektitulus"/>
            </w:pPr>
            <w:r w:rsidRPr="00DB4822">
              <w:t>Assistant Research Fellow, BCE VFI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POLYCRISIS ON YOUTH EMPLOYMENT AND HOW TO STRENGTHEN OUR ECONOMY AND SOCIETY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employment; COVID-19 pandemic; unemployment; poverty; polycrisis</w:t>
      </w:r>
      <w:r>
        <w:t xml:space="preserve"/>
      </w:r>
    </w:p>
    <w:p>
      <w:pPr>
        <w:widowControl w:val="on"/>
        <w:pBdr/>
        <w:spacing w:before="240" w:after="240" w:line="240" w:lineRule="auto"/>
        <w:ind w:left="0" w:right="0"/>
        <w:jc w:val="left"/>
      </w:pPr>
      <w:r>
        <w:rPr>
          <w:color w:val="000000"/>
          <w:sz w:val="24"/>
          <w:szCs w:val="24"/>
        </w:rPr>
        <w:t xml:space="preserve">The era of polycrisis has influenced our lives for nearly half a decade. The COVID-19 pandemic and the uncertainties arising from the Russian-Ukrainian war have posed significant economic and social challenges.</w:t>
      </w:r>
    </w:p>
    <w:p>
      <w:pPr>
        <w:widowControl w:val="on"/>
        <w:pBdr/>
        <w:spacing w:before="240" w:after="240" w:line="240" w:lineRule="auto"/>
        <w:ind w:left="0" w:right="0"/>
        <w:jc w:val="left"/>
      </w:pPr>
      <w:r>
        <w:rPr>
          <w:color w:val="000000"/>
          <w:sz w:val="24"/>
          <w:szCs w:val="24"/>
        </w:rPr>
        <w:t xml:space="preserve">In my paper, I analyzed youth employment using secondary research and data sourced from the Hungarian Central Statistical Office (KSH), Eurostat, and the OECD Labour Force Survey (LFS). I identified correlations in the data and conducted my own calculations where necessary.</w:t>
      </w:r>
    </w:p>
    <w:p>
      <w:pPr>
        <w:widowControl w:val="on"/>
        <w:pBdr/>
        <w:spacing w:before="240" w:after="240" w:line="240" w:lineRule="auto"/>
        <w:ind w:left="0" w:right="0"/>
        <w:jc w:val="left"/>
      </w:pPr>
      <w:r>
        <w:rPr>
          <w:color w:val="000000"/>
          <w:sz w:val="24"/>
          <w:szCs w:val="24"/>
        </w:rPr>
        <w:t xml:space="preserve">My research shows that between 2019 and 2023, despite some companies going bankrupt, new opportunities emerged—such as the broader adoption of atypical employment (remote work and part-time jobs)—to the extent that there was hardly any decline in employment rates at both the Hungarian and EU levels.</w:t>
      </w:r>
    </w:p>
    <w:p>
      <w:pPr>
        <w:widowControl w:val="on"/>
        <w:pBdr/>
        <w:spacing w:before="240" w:after="240" w:line="240" w:lineRule="auto"/>
        <w:ind w:left="0" w:right="0"/>
        <w:jc w:val="left"/>
      </w:pPr>
      <w:r>
        <w:rPr>
          <w:color w:val="000000"/>
          <w:sz w:val="24"/>
          <w:szCs w:val="24"/>
        </w:rPr>
        <w:t xml:space="preserve">According to my analysis, the KSH does not include participants in dual education programs among the employed youth. This represents an increasingly significant methodological discrepancy in the LFS between Hungary and other EU and OECD member states, which should be revisited in the next methodological review.</w:t>
      </w:r>
    </w:p>
    <w:p>
      <w:pPr>
        <w:widowControl w:val="on"/>
        <w:pBdr/>
        <w:spacing w:before="240" w:after="240" w:line="240" w:lineRule="auto"/>
        <w:ind w:left="0" w:right="0"/>
        <w:jc w:val="left"/>
      </w:pPr>
      <w:r>
        <w:rPr>
          <w:color w:val="000000"/>
          <w:sz w:val="24"/>
          <w:szCs w:val="24"/>
        </w:rPr>
        <w:t xml:space="preserve">For Hungarian youth, transitioning to the labor market after completing their studies still represents a major disruption. My research indicates that the legal labor market no longer views young people working alongside their studies as secondary labor; they are no longer employed at “starvation wages” but are instead rewarded with material recognition for their work.</w:t>
      </w:r>
    </w:p>
    <w:p>
      <w:pPr>
        <w:widowControl w:val="on"/>
        <w:pBdr/>
        <w:spacing w:before="240" w:after="240" w:line="240" w:lineRule="auto"/>
        <w:ind w:left="0" w:right="0"/>
        <w:jc w:val="left"/>
      </w:pPr>
      <w:r>
        <w:rPr>
          <w:color w:val="000000"/>
          <w:sz w:val="24"/>
          <w:szCs w:val="24"/>
        </w:rPr>
        <w:t xml:space="preserve">In our region, the labor market still struggles to adequately employ students. Integrating part-time employment into the culture of domestic employees and employers could reduce the shock of entering the labor market, enabling young people to gain professional experience while their livelihoods are not yet dependent on their labor market success. The broader implementation of partial or hybrid remote work could also greatly contribute to this goal.</w:t>
      </w:r>
    </w:p>
    <w:p>
      <w:pPr>
        <w:widowControl w:val="on"/>
        <w:pBdr/>
        <w:spacing w:before="240" w:after="240" w:line="240" w:lineRule="auto"/>
        <w:ind w:left="0" w:right="0"/>
        <w:jc w:val="left"/>
      </w:pPr>
      <w:r>
        <w:rPr>
          <w:color w:val="000000"/>
          <w:sz w:val="24"/>
          <w:szCs w:val="24"/>
        </w:rPr>
        <w:t xml:space="preserve">Atypical employment can have positive effects on both individual employment and the economic strengthening of society, including reducing the proportion of those at risk of poverty or social exclusion. While youth employment has become a prominent topic in recent years, its economic importance and positive impact on society as a whole are not yet widely understood, leading to its frequent underestimation by both employers and employees.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73566">
    <w:multiLevelType w:val="hybridMultilevel"/>
    <w:lvl w:ilvl="0" w:tplc="24295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73566">
    <w:abstractNumId w:val="242735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29456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