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MIKLAN</w:t>
            </w:r>
          </w:p>
          <w:p w:rsidR="00C275A3" w:rsidRDefault="00CA6B74" w:rsidP="00C275A3">
            <w:pPr>
              <w:pStyle w:val="Hallgatokepzes"/>
            </w:pPr>
            <w:r w:rsidRPr="001067CD">
              <w:rPr>
                <w:i/>
              </w:rPr>
              <w:t>levente.miklan@evk.hu</w:t>
            </w:r>
            <w:r w:rsidRPr="001067CD">
              <w:rPr>
                <w:i/>
              </w:rPr>
              <w:br/>
            </w:r>
            <w:r w:rsidR="00A96AEC">
              <w:t>International Business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Magdolna Judit Hadházyné Burucs</w:t>
            </w:r>
          </w:p>
          <w:p w:rsidR="00DB4822" w:rsidRDefault="00DB4822" w:rsidP="00BA6BAF">
            <w:pPr>
              <w:pStyle w:val="Konzulensektitulus"/>
            </w:pPr>
            <w:r w:rsidRPr="00DB4822">
              <w:t>Master Lecturer,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Bretton Woods 3.0 – The dethronement of the dollar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Dollar Dominance;Global Monetary System;Bretton Woods III;Alternative Currency Standards</w:t>
      </w:r>
      <w:r>
        <w:t xml:space="preserve"/>
      </w:r>
    </w:p>
    <w:p>
      <w:pPr>
        <w:widowControl w:val="on"/>
        <w:pBdr/>
        <w:spacing w:before="240" w:after="240" w:line="240" w:lineRule="auto"/>
        <w:ind w:left="0" w:right="0"/>
        <w:jc w:val="left"/>
      </w:pPr>
      <w:r>
        <w:rPr>
          <w:color w:val="000000"/>
          <w:sz w:val="24"/>
          <w:szCs w:val="24"/>
        </w:rPr>
        <w:t xml:space="preserve">This research examines the potential shifts in the global monetary order, particularly the feasibility of moving beyond the current dominance of the U.S. dollar toward alternative currency standards. The study analyzes theoretical frameworks and practical implications of adopting new monetary systems, focusing on the roles of established currencies such as the Euro and the Chinese Renminbi, Central Bank Digital Currencies (CBDCs), and cryptocurrencies. Employing qualitative methods and interviews with monetary experts and scholars, the research assesses the durability of the Bretton Woods II system and explores the conceptualization of a Bretton Woods III scenario, where a diversification of global monetary leadership could occur. The analysis critiques the ongoing supremacy of the dollar among shifts in geopolitical power and advances in technology, evaluating the capacity of the euro and renminbi to challenge this dominance alongside emerging digital currencies. Based on the findings, there are clear signs of the dollar's diminishing dominance, and while this may not materialize in the near future, the world is heading toward a polycentric monetary order.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35772">
    <w:multiLevelType w:val="hybridMultilevel"/>
    <w:lvl w:ilvl="0" w:tplc="71563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35772">
    <w:abstractNumId w:val="633357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442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