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POSZAVECZ</w:t>
            </w:r>
          </w:p>
          <w:p w:rsidR="00C275A3" w:rsidRDefault="00CA6B74" w:rsidP="00C275A3">
            <w:pPr>
              <w:pStyle w:val="Hallgatokepzes"/>
            </w:pPr>
            <w:r w:rsidRPr="001067CD">
              <w:rPr>
                <w:i/>
              </w:rPr>
              <w:t>poszavecz46@hotmail.com</w:t>
            </w:r>
            <w:r w:rsidRPr="001067CD">
              <w:rPr>
                <w:i/>
              </w:rPr>
              <w:br/>
            </w:r>
            <w:r w:rsidR="00A96AEC">
              <w:t>Accounting</w:t>
            </w:r>
            <w:r w:rsidR="00A96AEC">
              <w:br/>
            </w:r>
            <w:r w:rsidR="00E77B23">
              <w:t>MSc, 4.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László Szívós</w:t>
            </w:r>
          </w:p>
          <w:p w:rsidR="00DB4822" w:rsidRDefault="00DB4822" w:rsidP="00BA6BAF">
            <w:pPr>
              <w:pStyle w:val="Konzulensektitulus"/>
            </w:pPr>
            <w:r w:rsidRPr="00DB4822">
              <w:t>senior lecturer,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corporate decisions between the two types of Earnings Management (AEM and REM) among companies listed on the Italian Stock Exchange, with special focus on the introduction of XBRL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Earnings management; AEM; REM; XBRL; Trade-off</w:t>
      </w:r>
      <w:r>
        <w:t xml:space="preserve"/>
      </w:r>
    </w:p>
    <w:p>
      <w:pPr>
        <w:widowControl w:val="on"/>
        <w:pBdr/>
        <w:spacing w:before="240" w:after="240" w:line="240" w:lineRule="auto"/>
        <w:ind w:left="0" w:right="0"/>
        <w:jc w:val="left"/>
      </w:pPr>
      <w:r>
        <w:rPr>
          <w:color w:val="000000"/>
          <w:sz w:val="24"/>
          <w:szCs w:val="24"/>
        </w:rPr>
        <w:t xml:space="preserve">The thesis examines the trade-off between the two main methods of earnings management (EM) – Accrual-based Earnings Management (hereinafter: AEM) and Real Earnings Management (hereinafter: REM) – among companies listed on the Italian Stock Exchange, with particular attention to the impact of the introduction of XBRL (eXtensible Business Reporting Language) on earnings management.</w:t>
      </w:r>
    </w:p>
    <w:p>
      <w:pPr>
        <w:widowControl w:val="on"/>
        <w:pBdr/>
        <w:spacing w:before="240" w:after="240" w:line="240" w:lineRule="auto"/>
        <w:ind w:left="0" w:right="0"/>
        <w:jc w:val="left"/>
      </w:pPr>
      <w:r>
        <w:rPr>
          <w:color w:val="000000"/>
          <w:sz w:val="24"/>
          <w:szCs w:val="24"/>
        </w:rPr>
        <w:br/>
        <w:t xml:space="preserve">Numerous previous studies have demonstrated that AEM and REM methods tend to complement rather than substitute each other, and decisions between the two are made by executives based on risks and efficiency. The current research analyzed observations from 223 Italian Stock Exchange-listed companies over 936 company-years between 2016 and 2022. It is verifiable that the introduction of XBRL significantly increased the practice of REM among the examined companies and demonstrated a trade-off between the two earnings management methodologies. The results suggest that the increase in financial reporting transparency facilitated by XBRL led companies to more vigorously apply REM techniques to influence corporate outcomes, likely accompanied by a decrease in the use of AEM earnings management tools.</w:t>
      </w:r>
    </w:p>
    <w:p>
      <w:pPr>
        <w:widowControl w:val="on"/>
        <w:pBdr/>
        <w:spacing w:before="240" w:after="240" w:line="240" w:lineRule="auto"/>
        <w:ind w:left="0" w:right="0"/>
        <w:jc w:val="left"/>
      </w:pPr>
      <w:r>
        <w:rPr>
          <w:color w:val="000000"/>
          <w:sz w:val="24"/>
          <w:szCs w:val="24"/>
        </w:rPr>
        <w:br/>
        <w:t xml:space="preserve">The thesis further examines how the trade-off ratio between AEM and REM is moderated by various other corporate characteristics (LOSS and SUSPECT). My findings indicate that the introduction of XBRL and the fact that a company reports a loss in a given period (LOSS) do not affect the degree of trade-off between AEM and REM. However, among companies where significant pressure is placed on executives (SUSPECT) to manipulate company results, it is observed that this intense pressure changes the trade-off ratio between AEM and REM. According to the results, in observations labeled as "SUSPECT," the trade-off ratio between REM and AEM decreases, and executives tend to stick with the use of AEM tools.</w:t>
      </w:r>
    </w:p>
    <w:p>
      <w:pPr>
        <w:widowControl w:val="on"/>
        <w:pBdr/>
        <w:spacing w:before="240" w:after="240" w:line="240" w:lineRule="auto"/>
        <w:ind w:left="0" w:right="0"/>
        <w:jc w:val="left"/>
      </w:pPr>
      <w:r>
        <w:rPr>
          <w:color w:val="000000"/>
          <w:sz w:val="24"/>
          <w:szCs w:val="24"/>
        </w:rPr>
        <w:t xml:space="preserve">The thesis contributes uniquely in two ways. Firstly, the impact of XBRL reporting implementation on corporate executives' earnings management practices has not yet been examined specifically within a European context. Secondly, this study investigates how the introduction of XBRL affects the trade-off between AEM and REM in a unique sample of European firms.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01302">
    <w:multiLevelType w:val="hybridMultilevel"/>
    <w:lvl w:ilvl="0" w:tplc="27328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01302">
    <w:abstractNumId w:val="30701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0936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