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MÓCZA-MURÁNCSIK ERIKA MÁRIA</w:t>
            </w:r>
          </w:p>
          <w:p w:rsidR="00C275A3" w:rsidRDefault="00CA6B74" w:rsidP="00C275A3">
            <w:pPr>
              <w:pStyle w:val="Hallgatokepzes"/>
            </w:pPr>
            <w:r w:rsidRPr="001067CD">
              <w:rPr>
                <w:i/>
              </w:rPr>
              <w:t>erika.murancsik@gmail.com</w:t>
            </w:r>
            <w:r w:rsidRPr="001067CD">
              <w:rPr>
                <w:i/>
              </w:rPr>
              <w:br/>
            </w:r>
            <w:r w:rsidR="00A96AEC">
              <w:t>Adattudomány</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Szathmáry László</w:t>
            </w:r>
          </w:p>
          <w:p w:rsidR="00DB4822" w:rsidRDefault="00DB4822" w:rsidP="00BA6BAF">
            <w:pPr>
              <w:pStyle w:val="Konzulensektitulus"/>
            </w:pPr>
            <w:r w:rsidRPr="00DB4822">
              <w:t>egyetemi docens,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AI-alapú hitelminősítés: hogyan juthatunk el a Responsible AI-tól a Sustainable AI-ig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 fejlődés; mesterséges intelligencia</w:t>
      </w:r>
      <w:r>
        <w:t xml:space="preserve"/>
      </w:r>
    </w:p>
    <w:p>
      <w:pPr>
        <w:widowControl w:val="on"/>
        <w:pBdr/>
        <w:spacing w:before="240" w:after="240" w:line="240" w:lineRule="auto"/>
        <w:ind w:left="0" w:right="0"/>
        <w:jc w:val="left"/>
      </w:pPr>
      <w:r>
        <w:rPr>
          <w:color w:val="000000"/>
          <w:sz w:val="24"/>
          <w:szCs w:val="24"/>
        </w:rPr>
        <w:t xml:space="preserve">A mesterséges intelligencia (AI) rohamos fejlődésével és terjedésével egyre inkább felmerül a kérdés, hogy vajon a gépi tanuláson alapuló algoritmusok mennyire nyújtanak megbízható, megmagyarázható, a társadalom és környezetünk érdekeit is figyelembe vevő eredményeket, így azok az iparágak, ahol a bizalom elengedhetetlen szerepet tölt be, szintén részesülhessenek az AI nyújtotta előnyökből. A Responsible AI, mint új paradigma próbál erre a problémára megoldást kínálni, azonban eddig kevesebb szó esett a módszertan teljességéről. Egyre több kutatás hangsúlyozza a gépi tanuló algoritmusok környezeti hatásának fontosságát, illetve a módszertan esetleges további hiányosságait.</w:t>
      </w:r>
      <w:r>
        <w:rPr>
          <w:color w:val="000000"/>
          <w:sz w:val="24"/>
          <w:szCs w:val="24"/>
        </w:rPr>
        <w:br/>
        <w:t xml:space="preserve">Dolgozatunkban ezen hiányosságok vizsgálata után definiáltuk a Sustainable AI-t, mint a Responsible AI-t meghaladó irányzatot, mely segítséget nyújthat egy fenntartható fejlődésen alapuló AI stratégiai és kockázatkezelési keretrendszer megalapozásához. Ennek szemléltetésére két banki hitelképességet osztályozó gépi tanuló algoritmust elemeztünk. Kutatásunkban ezen algoritmusok döntésének megmagyarázhatóságát, etikai (fairness) és környezeti hatásait vizsgáltunk, mely három réteget együttesen korábban más kutatások nem elemeztek. Ezen három réteg együttes vizsgálata segíthet kontextusba helyezni és értelmezni a fenntarthatósági szemléletet az AI megoldások esetében.</w:t>
      </w:r>
      <w:r>
        <w:rPr>
          <w:color w:val="000000"/>
          <w:sz w:val="24"/>
          <w:szCs w:val="24"/>
        </w:rPr>
        <w:br/>
        <w:t xml:space="preserve">Vizsgálatunkban a táblázatos adatokon más kutatások alapján is „state of the art” modellnek is tartott LightGBM algoritmust hasonlítottuk össze a tradicionális logisztikus regresszióval. A Sustainable AI három rétegének elemzésekor látható, hogy a Reweighing algoritmus jól korrigálja a hitelkérelmet benyújtó ügyfelek kora miatti egyenlőtlenségeket logisztikus regresszió alkalmazásakor. A SHAP XAI modellértelmező algoritmus mindkét osztályozó gépi tanuló modell esetében ugyanazt a legfontosabb változót (feature) azonosította, ezzel segítve a modell döntéseinek értelmezését. Környezeti hatást mutató számítások elvégzése után látható, hogy a SHAP értékek kiszámítása a LightGBM modellen sokkal több energiát igényel, mint maga a modell betanítása, azonban a két gépi tanuló algoritmus pontossága nagyon hasonló volt. Ez alapján is látható, hogy nem mindig a több számítási kapacitást igénylő, legnépszerűbb algoritmust érdemes választani döntéseinkhez.</w:t>
      </w:r>
      <w:r>
        <w:rPr>
          <w:color w:val="000000"/>
          <w:sz w:val="24"/>
          <w:szCs w:val="24"/>
        </w:rPr>
        <w:br/>
        <w:t xml:space="preserve">ACM: Sustainability, Philosophical/theoretical foundations of artificial intelligence, Human computer interaction (HCI)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41524">
    <w:multiLevelType w:val="hybridMultilevel"/>
    <w:lvl w:ilvl="0" w:tplc="49120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41524">
    <w:abstractNumId w:val="68341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761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