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szabonora1debrecen@gmail.com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Kovácsné Dr. Becánics Adrienn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Légi katasztrófák hatása a nemzetközi légi jogra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Nemzetközi légijog; Repülésbiztonság; Légi katasztrófák; Germanwings katasztrófa; 9/11 terrortámadás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légi katasztrófák nemzetközi jogra gyakorolt hatásait helyeztem a középpontba, különös figyelmet fordítva arra, hogy az általam választott két, kiemelkedő jelentőségű és magas halálozási számmal járó esemény milyen módon formálta az addig érvényben lévő nemzetközi repülésbiztonsági szabályozásokat és jogszabályokat. A téma alapos feldolgozása érdekében a dolgozatot egy történeti áttekintéssel kezdtem, amelyben bemutattam, hogyan alakult ki a modern nemzetközi légijog. E részben kitértem a legfontosabb együttműködésekre, szervezetekre és konferenciákra, amelyek szerepet játszottak a szabályozások fejlődésében, valamint a légi katasztrófák és egyéb biztonsági kihívások hatására bekövetkező változásokra.</w:t>
      </w:r>
      <w:r>
        <w:rPr>
          <w:color w:val="000000"/>
          <w:sz w:val="24"/>
          <w:szCs w:val="24"/>
        </w:rPr>
        <w:br/>
        <w:t xml:space="preserve">A dolgozat központi elemét két jelentős légi katasztrófa képezi: a 2001. szeptember 11-i terrortámadás-sorozat és a 2015-ös Germanwings-tragédia. A szeptember 11-i események az egész világ repülésbiztonsági rendszerét alapjaiban formálták át, különös tekintettel a pilótafülkék védelmét szolgáló szigorú szabályok bevezetésére. E változtatások célja az volt, hogy megakadályozzák a külső támadók által végrehajtott gépeltérítéseket, amelyek katasztrofális következményekkel járhatnak, mint ahogy azt a 9/11 példája is bizonyította. </w:t>
      </w:r>
      <w:r>
        <w:rPr>
          <w:color w:val="000000"/>
          <w:sz w:val="24"/>
          <w:szCs w:val="24"/>
        </w:rPr>
        <w:br/>
        <w:t xml:space="preserve">A Germanwings-eset különösen tanulságos abból a szempontból, hogy az eseményt a másodpilóta öngyilkossági szándéka idézte elő, aki a kabin ajtaját lezárva szándékosan vezette a gépet hegyoldalnak, miközben a személyzet és az utasok tehetetlenül próbáltak beavatkozni.</w:t>
      </w:r>
      <w:r>
        <w:rPr>
          <w:color w:val="000000"/>
          <w:sz w:val="24"/>
          <w:szCs w:val="24"/>
        </w:rPr>
        <w:br/>
        <w:t xml:space="preserve">A dolgozatban részletesen bemutatom, hogy ezek az események nemcsak az egyes országok jogi szabályozásaira, hanem a globális szintű normák kialakítására is jelentős hatással voltak. Elemzésem során kitértem arra, hogy a katasztrófák miként befolyásolták az ICAO, az IATA és más nemzetközi szervezetek döntéseit, valamint hogy a jogalkotási folyamat során milyen kompromisszumokra volt szükség a biztonság, a hatékonyság és az utasok jogainak egyensúlya érdekében.</w:t>
      </w:r>
      <w:r>
        <w:rPr>
          <w:color w:val="000000"/>
          <w:sz w:val="24"/>
          <w:szCs w:val="24"/>
        </w:rPr>
        <w:br/>
        <w:t xml:space="preserve">Összegzésképpen a dolgozat célja nemcsak az volt, hogy bemutassam, miként alakítják át a légi katasztrófák a nemzetközi jogot és a repülésbiztonsági előírásokat, hanem az is, hogy rávilágítsak a jogalkotási folyamat komplexitására és a szabályozások folyamatos fejlődésének szükségességére. A 9/11 és a Germanwings-tragédia példái arra emlékeztetnek bennünket, hogy a nemzetközi légi jog fejlődése mindig szorosan összefügg a valós események tanulságaival és az azokból fakadó kihívásokkal.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551407">
    <w:multiLevelType w:val="hybridMultilevel"/>
    <w:lvl w:ilvl="0" w:tplc="31557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551407">
    <w:abstractNumId w:val="965514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38034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