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BÁNÁTI LUCA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banatiluca1@gmail.com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Georgina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Emberi Jogok Európai Bírósága joggyakorlatának hatása a hatékony védelemhez való jogra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hatékony védelemhez való jog; büntetőeljárás; Emberi Jogok Európai Bírósága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az Emberi Jogok Európai Bírósága (a továbbiakban: EJEB)</w:t>
      </w:r>
      <w:r>
        <w:rPr>
          <w:color w:val="000000"/>
          <w:sz w:val="24"/>
          <w:szCs w:val="24"/>
        </w:rPr>
        <w:br/>
        <w:t xml:space="preserve">joggyakorlatának hatása a hatékony védelemhez való jog értelmezésére. Különös figyelmet</w:t>
      </w:r>
      <w:r>
        <w:rPr>
          <w:color w:val="000000"/>
          <w:sz w:val="24"/>
          <w:szCs w:val="24"/>
        </w:rPr>
        <w:br/>
        <w:t xml:space="preserve">fordítok arra, hogy az EJEB ítéletei milyen módon formálták a hatékony védelemhez való jog</w:t>
      </w:r>
      <w:r>
        <w:rPr>
          <w:color w:val="000000"/>
          <w:sz w:val="24"/>
          <w:szCs w:val="24"/>
        </w:rPr>
        <w:br/>
        <w:t xml:space="preserve">értelmezését és tartalmát, valamint milyen új kötelezettségeket ró a hazai büntetőeljárás</w:t>
      </w:r>
      <w:r>
        <w:rPr>
          <w:color w:val="000000"/>
          <w:sz w:val="24"/>
          <w:szCs w:val="24"/>
        </w:rPr>
        <w:br/>
        <w:t xml:space="preserve">szereplőire. Célom annak kiderítése, hogy az EJEB pontosan mit ért a hatékonyság alatt. A</w:t>
      </w:r>
      <w:r>
        <w:rPr>
          <w:color w:val="000000"/>
          <w:sz w:val="24"/>
          <w:szCs w:val="24"/>
        </w:rPr>
        <w:br/>
        <w:t xml:space="preserve">dolgozatomban először áttekintem a védelemhez való jog történeti fejlődését és annak helyét a</w:t>
      </w:r>
      <w:r>
        <w:rPr>
          <w:color w:val="000000"/>
          <w:sz w:val="24"/>
          <w:szCs w:val="24"/>
        </w:rPr>
        <w:br/>
        <w:t xml:space="preserve">magyar jogrendszerben, majd az EJEB ítélkezési gyakorlatának elemzésén keresztül mutatom</w:t>
      </w:r>
      <w:r>
        <w:rPr>
          <w:color w:val="000000"/>
          <w:sz w:val="24"/>
          <w:szCs w:val="24"/>
        </w:rPr>
        <w:br/>
        <w:t xml:space="preserve">be, hogyan változott meg a védelemhez való jog tartalma, különösen a büntetőeljárás különböző</w:t>
      </w:r>
      <w:r>
        <w:rPr>
          <w:color w:val="000000"/>
          <w:sz w:val="24"/>
          <w:szCs w:val="24"/>
        </w:rPr>
        <w:br/>
        <w:t xml:space="preserve">szakaszaiban. Részletesen foglalkozom a Salduz-ügy és a Dayanan-ügy jelentőségével,</w:t>
      </w:r>
      <w:r>
        <w:rPr>
          <w:color w:val="000000"/>
          <w:sz w:val="24"/>
          <w:szCs w:val="24"/>
        </w:rPr>
        <w:br/>
        <w:t xml:space="preserve">amelyek kijelölték a védelemhez való jog hatályát a nyomozási szakaszban, valamint az EJEB</w:t>
      </w:r>
      <w:r>
        <w:rPr>
          <w:color w:val="000000"/>
          <w:sz w:val="24"/>
          <w:szCs w:val="24"/>
        </w:rPr>
        <w:br/>
        <w:t xml:space="preserve">hullámzó joggyakorlatával, amely a későbbi ügyekben, például a Simeonovi-ügyben</w:t>
      </w:r>
      <w:r>
        <w:rPr>
          <w:color w:val="000000"/>
          <w:sz w:val="24"/>
          <w:szCs w:val="24"/>
        </w:rPr>
        <w:br/>
        <w:t xml:space="preserve">visszalépést mutatott. A dolgozat végén elemzem a hatékony védelemhez való jog tartalmi</w:t>
      </w:r>
      <w:r>
        <w:rPr>
          <w:color w:val="000000"/>
          <w:sz w:val="24"/>
          <w:szCs w:val="24"/>
        </w:rPr>
        <w:br/>
        <w:t xml:space="preserve">elemeit az EJEB esetjogán keresztül, valamint a kirendelt védői rendszer problémáit. Azért ezt</w:t>
      </w:r>
      <w:r>
        <w:rPr>
          <w:color w:val="000000"/>
          <w:sz w:val="24"/>
          <w:szCs w:val="24"/>
        </w:rPr>
        <w:br/>
        <w:t xml:space="preserve">a témát választottam, mert a védelemre vonatkozó eljárási szabályok szoros összefüggést</w:t>
      </w:r>
      <w:r>
        <w:rPr>
          <w:color w:val="000000"/>
          <w:sz w:val="24"/>
          <w:szCs w:val="24"/>
        </w:rPr>
        <w:br/>
        <w:t xml:space="preserve">mutatnak a jogállamiság érvényesülésével. Az EJEB ítélete közvetlenül és közvetve is hatnak</w:t>
      </w:r>
      <w:r>
        <w:rPr>
          <w:color w:val="000000"/>
          <w:sz w:val="24"/>
          <w:szCs w:val="24"/>
        </w:rPr>
        <w:br/>
        <w:t xml:space="preserve">a részes államok jogrendszerére, ami a büntetőeljárásról szóló 2017. évi XC. törvény (a</w:t>
      </w:r>
      <w:r>
        <w:rPr>
          <w:color w:val="000000"/>
          <w:sz w:val="24"/>
          <w:szCs w:val="24"/>
        </w:rPr>
        <w:br/>
        <w:t xml:space="preserve">továbbiakban: Be.) 3. § (1) bekezdésében szereplő hatékony védelemhez való jog beiktatásából</w:t>
      </w:r>
      <w:r>
        <w:rPr>
          <w:color w:val="000000"/>
          <w:sz w:val="24"/>
          <w:szCs w:val="24"/>
        </w:rPr>
        <w:br/>
        <w:t xml:space="preserve">is látszódik. A Be. 3. §-ához fűzött indokolás a változtatás okának az EJEB következetes</w:t>
      </w:r>
      <w:r>
        <w:rPr>
          <w:color w:val="000000"/>
          <w:sz w:val="24"/>
          <w:szCs w:val="24"/>
        </w:rPr>
        <w:br/>
        <w:t xml:space="preserve">joggyakorlatát említette, ezért indokoltnak tartam az EJEB ítéleteinek elemzését. Fontosnak</w:t>
      </w:r>
      <w:r>
        <w:rPr>
          <w:color w:val="000000"/>
          <w:sz w:val="24"/>
          <w:szCs w:val="24"/>
        </w:rPr>
        <w:br/>
        <w:t xml:space="preserve">tartom továbbá hangsúlyozni, hogy a hatékony védelem egy rendkívül összetett fogalom,</w:t>
      </w:r>
      <w:r>
        <w:rPr>
          <w:color w:val="000000"/>
          <w:sz w:val="24"/>
          <w:szCs w:val="24"/>
        </w:rPr>
        <w:br/>
        <w:t xml:space="preserve">amelynek biztosítása nemcsak a védőkre, hanem az államra és az eljáró hatóságokra is új</w:t>
      </w:r>
      <w:r>
        <w:rPr>
          <w:color w:val="000000"/>
          <w:sz w:val="24"/>
          <w:szCs w:val="24"/>
        </w:rPr>
        <w:br/>
        <w:t xml:space="preserve">kötelezettségeket ró.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15335">
    <w:multiLevelType w:val="hybridMultilevel"/>
    <w:lvl w:ilvl="0" w:tplc="88370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15335">
    <w:abstractNumId w:val="156153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274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