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BEATRIX DUKA</w:t>
            </w:r>
          </w:p>
          <w:p w:rsidR="00C275A3" w:rsidRDefault="00CA6B74" w:rsidP="00C275A3">
            <w:pPr>
              <w:pStyle w:val="Hallgatokepzes"/>
            </w:pPr>
            <w:r w:rsidRPr="001067CD">
              <w:rPr>
                <w:i/>
              </w:rPr>
              <w:t>dukatrixi@gmail.com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Eötvös Loránd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Barbara Mohácsi</w:t>
            </w:r>
          </w:p>
          <w:p w:rsidR="00DB4822" w:rsidRDefault="00DB4822" w:rsidP="00BA6BAF">
            <w:pPr>
              <w:pStyle w:val="Konzulensektitulus"/>
            </w:pPr>
            <w:r w:rsidRPr="00DB4822">
              <w:t>senior lecturer, ELTE ÁJK</w:t>
            </w:r>
          </w:p>
        </w:tc>
      </w:tr>
      <w:tr w:rsidR="00DB4822" w:rsidTr="00DB4822">
        <w:tc>
          <w:tcPr>
            <w:tcW w:w="9854" w:type="dxa"/>
          </w:tcPr>
          <w:p w:rsidR="00DB4822" w:rsidRPr="00DB4822" w:rsidRDefault="00DB4822" w:rsidP="00BA6BAF">
            <w:pPr>
              <w:pStyle w:val="Konzulenseknev"/>
            </w:pPr>
            <w:r w:rsidRPr="00DB4822">
              <w:t>Márk Kitanics</w:t>
            </w:r>
          </w:p>
          <w:p w:rsidR="00DB4822" w:rsidRDefault="00DB4822" w:rsidP="00BA6BAF">
            <w:pPr>
              <w:pStyle w:val="Konzulensektitulus"/>
            </w:pPr>
            <w:r w:rsidRPr="00DB4822">
              <w:t>psychological expert,  sole proprietor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What's in the mind of the "murderer" - Psychological expert in criminal proceedings, with a special focus on practical problems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psychology; expert; prosecution; practical issues</w:t>
      </w:r>
      <w:r>
        <w:t xml:space="preserve"/>
      </w:r>
    </w:p>
    <w:p>
      <w:pPr>
        <w:widowControl w:val="on"/>
        <w:pBdr/>
        <w:spacing w:before="240" w:after="240" w:line="240" w:lineRule="auto"/>
        <w:ind w:left="0" w:right="0"/>
        <w:jc w:val="left"/>
      </w:pPr>
      <w:r>
        <w:rPr>
          <w:color w:val="000000"/>
          <w:sz w:val="24"/>
          <w:szCs w:val="24"/>
        </w:rPr>
        <w:t xml:space="preserve">"... they were simply on the way to the demonic level", recalled Csanád H., the notorious family murderer from Kulcs, during the exploration carried out by the psychologist expert, which was the reason why he killed almost his entire family in 3 days. There is reason to believe that a man with a healthy personality would not kill his fellow human being for any reason, and certainly not feel the urge to rise to a demonic level. However, this is a much more complex, so-called specialist issue that goes beyond legal knowledge. The assessment of personality traits, possible profiling, experiential assessment are all within the competence of the expert psychologist, but they are also typically involved in the assessment of mental capacity and pathological status.</w:t>
      </w:r>
    </w:p>
    <w:p>
      <w:pPr>
        <w:widowControl w:val="on"/>
        <w:pBdr/>
        <w:spacing w:before="240" w:after="240" w:line="240" w:lineRule="auto"/>
        <w:ind w:left="0" w:right="0"/>
        <w:jc w:val="left"/>
      </w:pPr>
      <w:r>
        <w:rPr>
          <w:color w:val="000000"/>
          <w:sz w:val="24"/>
          <w:szCs w:val="24"/>
        </w:rPr>
        <w:t xml:space="preserve">In my paper, following a quasi-arc structure, I will first present the general rules that apply to experts, including the expert psychologist, for the purpose of taxonomic placement. I will then outline the practical activities of the psychological expert and the methods that can be used to help them. In the second part of the thesis, I will discuss the problem of conflicting expert opinions, a problem that occurs repeatedly in practice, through the case of the family murderer Csanád H. from Kulcs. The whole essay will therefore 'run out' on this problem, and I will conclude by trying to find a solution to this concern.</w:t>
      </w:r>
    </w:p>
    <w:p>
      <w:pPr>
        <w:widowControl w:val="on"/>
        <w:pBdr/>
        <w:spacing w:before="240" w:after="240" w:line="240" w:lineRule="auto"/>
        <w:ind w:left="0" w:right="0"/>
        <w:jc w:val="left"/>
      </w:pPr>
      <w:r>
        <w:rPr>
          <w:color w:val="000000"/>
          <w:sz w:val="24"/>
          <w:szCs w:val="24"/>
        </w:rPr>
        <w:t xml:space="preserve">The first, general part of the thesis, as well as the part specific to forensic psychology, serves the purpose of providing a framework for my own research, since such a two-pronged approach to practical problems - conflicting opinions - and the modifications that might be made to solve them are a reflection of my own thoughts and observations.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40235">
    <w:multiLevelType w:val="hybridMultilevel"/>
    <w:lvl w:ilvl="0" w:tplc="73529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40235">
    <w:abstractNumId w:val="67940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793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