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SVOBODA RÉKA</w:t>
            </w:r>
          </w:p>
          <w:p w:rsidR="00C275A3" w:rsidRDefault="00CA6B74" w:rsidP="00C275A3">
            <w:pPr>
              <w:pStyle w:val="Hallgatokepzes"/>
            </w:pPr>
            <w:r w:rsidRPr="001067CD">
              <w:rPr>
                <w:i/>
              </w:rPr>
              <w:t>svoboda@student.elte.hu</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Koósné dr. Mohácsi Barbara</w:t>
            </w:r>
          </w:p>
          <w:p w:rsidR="00DB4822" w:rsidRDefault="00DB4822" w:rsidP="00BA6BAF">
            <w:pPr>
              <w:pStyle w:val="Konzulensektitulus"/>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gyanú fogalma és fokozatai a magyar jogban, német kitekintéssel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gyanú; fogalma; fokozatai; magyar; német</w:t>
      </w:r>
      <w:r>
        <w:t xml:space="preserve"/>
      </w:r>
    </w:p>
    <w:p>
      <w:pPr>
        <w:widowControl w:val="on"/>
        <w:pBdr/>
        <w:spacing w:before="240" w:after="240" w:line="240" w:lineRule="auto"/>
        <w:ind w:left="0" w:right="0"/>
        <w:jc w:val="left"/>
      </w:pPr>
      <w:r>
        <w:rPr>
          <w:color w:val="000000"/>
          <w:sz w:val="24"/>
          <w:szCs w:val="24"/>
        </w:rPr>
        <w:t xml:space="preserve">Tekintve, hogy a gyanú a büntetőeljárás alapja, kiemelt jelentősége van, hogy milyen valószínűségi szinten vonjuk meg annak határát. A gyanú további, magasabb valószínűséggel bíró fokozatai pedig olyan további eljárási cselekmények alapjául szolgálnak, amelyek alakíthatják a büntetőeljárás menetét.</w:t>
      </w:r>
    </w:p>
    <w:p>
      <w:pPr>
        <w:widowControl w:val="on"/>
        <w:pBdr/>
        <w:spacing w:before="240" w:after="240" w:line="240" w:lineRule="auto"/>
        <w:ind w:left="0" w:right="0"/>
        <w:jc w:val="left"/>
      </w:pPr>
      <w:r>
        <w:rPr>
          <w:color w:val="000000"/>
          <w:sz w:val="24"/>
          <w:szCs w:val="24"/>
        </w:rPr>
        <w:t xml:space="preserve">A gyanú fogalmával foglalkozó szakirodalmi álláspontokat áttekintve úgy vélem, hogy a gyanú fogalmának törvényi meghatározása nem lenne célszerű és talán nem is lehetséges. A gyanút az objektív adatokból levont szubjektív valószínűségi következtetésként értelmezem. A dolgozatban kifejtésre került a gyanú in rem és in personam értelmezése. Véleményem szerint mindkét értelmezésnek létezik „egyszerű” és „megalapozott” kategóriája is, ezért az in rem gyanú nem tekinthető az „egyszerű” gyanú, az in personam gyanú pedig a megalapozott gyanú szinonimájának.</w:t>
      </w:r>
      <w:r>
        <w:rPr>
          <w:color w:val="000000"/>
          <w:sz w:val="24"/>
          <w:szCs w:val="24"/>
        </w:rPr>
        <w:br/>
        <w:t xml:space="preserve">Álláspontom szerint a magyar jogban a valószínűségi fokozatoknak négy elkülöníthető szintje létezik, a gyanú gyanúja, „egyszerű” gyanú, megalapozott gyanú, nyomatékos gyanú. A dolgozatomban a magyar szabályozás mellett bemutatott német szabályozás szintén négy valószínűségi fokozatot különít el, a gyanú gyanúja, Anfangsverdacht, hinreichender Tatverdacht, dringender Tatverdacht. A gyanú gyanúja alacsony intenzitása miatt nem tekinthető a gyanú fogalmi körébe tartozónak, mindkét jogban így három olyan valószínűségi fokozat van, amely a gyanú különböző szintjeként értelmezhető. A két jogrendszerben alkalmazott gyanúfokozatok nagy mértékben megfeleltethetők egymásnak. A szabályozások legjelentősebb különbsége, hogy hazánkban a vádemeléshez szükséges a legmagasabb gyanúszint, míg a német jog azt a letartóztatás alkalmazhatóságához követeli meg.</w:t>
      </w:r>
      <w:r>
        <w:rPr>
          <w:color w:val="000000"/>
          <w:sz w:val="24"/>
          <w:szCs w:val="24"/>
        </w:rPr>
        <w:br/>
        <w:t xml:space="preserve">A magyar joggal kapcsolatban a legfőbb problémát abban látom, hogy a jogalkotó a gyanú fogalma és fokozatai kapcsán nem szolgál elegendő támponttal a gyakorlat számára, ezért szükségesnek tartanám – a német joghoz hasonlóan – a gyanú különböző szintjeinek egyértelmű rögzítését a Be.-ben. Az, hogy a vádemeléshez vagy a letartóztatáshoz kívánja meg az adott szabályozás a gyanú magasabb fokát, jogalkotói döntés, a büntetőeljárás sikeréhez azonban mindenképpen szükséges, hogy az „egyszerű” gyanútól a gyanú különböző szintjein át eljusson a bizonyosságot jelentő elítélésig.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62795">
    <w:multiLevelType w:val="hybridMultilevel"/>
    <w:lvl w:ilvl="0" w:tplc="93583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62795">
    <w:abstractNumId w:val="742627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573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