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FAZAKAS ÁRON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fazakas.aron@gmail.com</w:t>
            </w:r>
            <w:r w:rsidRPr="001067CD">
              <w:rPr>
                <w:i/>
              </w:rPr>
              <w:br/>
            </w:r>
            <w:r w:rsidR="00A96AEC">
              <w:t>Jogász nappali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Gosztonyi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Szólásszabadság a közösségimédia-platformokon a DSA 14. cikk (4) bekezdés tükrében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szólásszabadság; közösségi média; DSA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szólásszabadság első generációs alapjogként állam és állampolgár viszonyában hivatott védelmet biztosítani utóbbi fél jogainak. A véleménynyilvánítás szabadságának horizontális hatálya azonban lehetővé teszi, hogy az alapjog magánszereplők relációjában is érvényesüljön, amennyiben a magánjogviszony kirívóan aszimmetrikus jellege ezt indokolttá teszi. Széleskörű konszenzus övezi, hogy ez a feltétel adott a közösségimédia-platformokat igénybe vevő felhasználók és a szolgáltatók között.</w:t>
      </w:r>
      <w:r>
        <w:rPr>
          <w:color w:val="000000"/>
          <w:sz w:val="24"/>
          <w:szCs w:val="24"/>
        </w:rPr>
        <w:br/>
        <w:t xml:space="preserve">A kérdést övező szakmai diskurzus története már hosszú évekre nyúlik vissza, de az EU először egy 2022-es rendelettel avatkozott be félreérthetetlenül ezen folyamatba. A Digital Services Act (a továbbiakban: DSA) 14. cikk (4) bekezdése expressis verbis beemeli a felhasználók szólásszabadságát a közösségimédia-oldalak tartalommoderálási tevékenységének kereteit meghatározó szempontok közé. Dolgozatomban a szóban forgó rendelkezés tömör megfogalmazását töltöm fel tartalommal, részletekkel és kilátásokkal.</w:t>
      </w:r>
      <w:r>
        <w:rPr>
          <w:color w:val="000000"/>
          <w:sz w:val="24"/>
          <w:szCs w:val="24"/>
        </w:rPr>
        <w:br/>
        <w:t xml:space="preserve">Elsőként a dolgozat tárgyául szolgáló bekezdés értelmezési lehetőségeit veszem sorra. Vajon a szólásszabadság követelmény normatív, vagy pusztán eljárási jellegű? Anyagi kötelezettségként a szolgáltatóknak már felhasználási feltételeik megalkotása során is az alkotmányjog bizonyos mértékű érvényesülésének fényében kellene eljárniuk, így releváns szempontként figyelembevéve a szólásszabadságot, a felületeiket alapjaiban meghatározó magánszabályok elfogadásakor. Ellenkező esetben a véleménynyilvánítás szabadsága a tartalommoderálási, és az azt követő jogorvoslati eljárások segédleteként jutna szerephez.</w:t>
      </w:r>
      <w:r>
        <w:rPr>
          <w:color w:val="000000"/>
          <w:sz w:val="24"/>
          <w:szCs w:val="24"/>
        </w:rPr>
        <w:br/>
        <w:t xml:space="preserve">Az értelmezést követően a DSA számos más rendelkezését helyezem figyelmem középpontjába, amelyek által az EU új jogvédelmi mechanizmusokat hoz létre és szabályoz. Ezek elemzésekor mindvégig fókuszban tartom a jogorvoslati fórumok alapjogvédelmi lehetőségeit, jogosítványait, illetve a bennük rejlő potenciált.</w:t>
      </w:r>
      <w:r>
        <w:rPr>
          <w:color w:val="000000"/>
          <w:sz w:val="24"/>
          <w:szCs w:val="24"/>
        </w:rPr>
        <w:br/>
        <w:t xml:space="preserve">Végül megfogalmazom szabályozási javaslataimat, amelyek segítségével új alapokra lehetne helyezni a közösségimédia-platformok felhasználóit megillető szólásszabadság biztosítását. A paradigmaváltás lehetőségein túl pedig olyan szabályozási javaslatokat is megfogalmazok, amelyek a jelenlegi rezsim egyes anomáliáinak kiköszöbölését tennék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38375">
    <w:multiLevelType w:val="hybridMultilevel"/>
    <w:lvl w:ilvl="0" w:tplc="59938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38375">
    <w:abstractNumId w:val="28638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2279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