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HUBAI GABRIELLA LAURA</w:t>
            </w:r>
          </w:p>
          <w:p w:rsidR="00C275A3" w:rsidRDefault="00CA6B74" w:rsidP="00C275A3">
            <w:pPr>
              <w:pStyle w:val="Hallgatokepzes"/>
            </w:pPr>
            <w:r w:rsidRPr="001067CD">
              <w:rPr>
                <w:i/>
              </w:rPr>
              <w:t>hubaigabica2001@gmail.com</w:t>
            </w:r>
            <w:r w:rsidRPr="001067CD">
              <w:rPr>
                <w:i/>
              </w:rPr>
              <w:br/>
            </w:r>
            <w:r w:rsidR="00A96AEC">
              <w:t>Kriminológia</w:t>
            </w:r>
            <w:r w:rsidR="00A96AEC">
              <w:br/>
            </w:r>
            <w:r w:rsidR="00E77B23">
              <w:t>MA, 3. félév</w:t>
            </w:r>
          </w:p>
          <w:p w:rsidR="00C265CE" w:rsidRPr="009E5FF1" w:rsidRDefault="00E77B23" w:rsidP="00BA6BAF">
            <w:pPr>
              <w:pStyle w:val="Hallgatointezmeny-kar"/>
              <w:rPr>
                <w:b/>
                <w:caps/>
              </w:rPr>
            </w:pPr>
            <w:r>
              <w:t>Eötvös Loránd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Vig David</w:t>
            </w:r>
          </w:p>
          <w:p w:rsidR="00DB4822" w:rsidRDefault="00DB4822" w:rsidP="00BA6BAF">
            <w:pPr>
              <w:pStyle w:val="Konzulensektitulus"/>
            </w:pPr>
            <w:r w:rsidRPr="00DB4822">
              <w:t>egyetemi adjunktus, ELTE ÁJK</w:t>
            </w:r>
          </w:p>
        </w:tc>
      </w:tr>
      <w:tr w:rsidR="00DB4822" w:rsidTr="00DB4822">
        <w:tc>
          <w:tcPr>
            <w:tcW w:w="9854" w:type="dxa"/>
          </w:tcPr>
          <w:p w:rsidR="00DB4822" w:rsidRPr="00DB4822" w:rsidRDefault="00DB4822" w:rsidP="00BA6BAF">
            <w:pPr>
              <w:pStyle w:val="Konzulenseknev"/>
            </w:pPr>
            <w:r w:rsidRPr="00DB4822">
              <w:t>Bacsák Dániel</w:t>
            </w:r>
          </w:p>
          <w:p w:rsidR="00DB4822" w:rsidRDefault="00DB4822" w:rsidP="00BA6BAF">
            <w:pPr>
              <w:pStyle w:val="Konzulensektitulus"/>
            </w:pPr>
            <w:r w:rsidRPr="00DB4822">
              <w:t>mb. előadó, ELTE ÁJK</w:t>
            </w:r>
          </w:p>
        </w:tc>
      </w:tr>
      <w:tr w:rsidR="00DB4822" w:rsidTr="00DB4822">
        <w:tc>
          <w:tcPr>
            <w:tcW w:w="9854" w:type="dxa"/>
          </w:tcPr>
          <w:p w:rsidR="00DB4822" w:rsidRPr="00DB4822" w:rsidRDefault="00DB4822" w:rsidP="00BA6BAF">
            <w:pPr>
              <w:pStyle w:val="Konzulenseknev"/>
            </w:pPr>
            <w:r w:rsidRPr="00DB4822">
              <w:t>Krámer Lili</w:t>
            </w:r>
          </w:p>
          <w:p w:rsidR="00DB4822" w:rsidRDefault="00DB4822" w:rsidP="00BA6BAF">
            <w:pPr>
              <w:pStyle w:val="Konzulensektitulus"/>
            </w:pPr>
            <w:r w:rsidRPr="00DB4822">
              <w:t>mb. előadó,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kényszergyógykezelés célja, végrehajtása és kihívásai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kényszergyógykezelés; Igazságügyi Megfigyelő és Elmegyógyító Intézet (IMEI); kóros elmeállapot; beszámítási képesség; pszichiátria</w:t>
      </w:r>
      <w:r>
        <w:t xml:space="preserve"/>
      </w:r>
    </w:p>
    <w:p>
      <w:pPr>
        <w:widowControl w:val="on"/>
        <w:pBdr/>
        <w:spacing w:before="240" w:after="240" w:line="240" w:lineRule="auto"/>
        <w:ind w:left="0" w:right="0"/>
        <w:jc w:val="left"/>
      </w:pPr>
      <w:r>
        <w:rPr>
          <w:color w:val="000000"/>
          <w:sz w:val="24"/>
          <w:szCs w:val="24"/>
        </w:rPr>
        <w:t xml:space="preserve">TDK-dolgozatom a kényszergyógykezelés intézményék vizsgálatát tűzi ki célul. A dolgozat a kényszergyógykezelés (jog)történeti előzményeinek, jogi szabályozásának és gyakorlati alkalmazásának kutatására és elemzésére vállalkozik.</w:t>
      </w:r>
    </w:p>
    <w:p>
      <w:pPr>
        <w:widowControl w:val="on"/>
        <w:pBdr/>
        <w:spacing w:before="240" w:after="240" w:line="240" w:lineRule="auto"/>
        <w:ind w:left="0" w:right="0"/>
        <w:jc w:val="left"/>
      </w:pPr>
      <w:r>
        <w:rPr>
          <w:color w:val="000000"/>
          <w:sz w:val="24"/>
          <w:szCs w:val="24"/>
        </w:rPr>
        <w:t xml:space="preserve">Kutatásom többrétű kíváncsiságom motiválta; a dolgozat kitért a kényszergyógykezelés céljára és végrehajtási kereteire, valamint mindezek változására az idők során, emellett górcső alá veszi az intézkedés napjainkban megvalósuló formáját, illetve az annak otthont adó, nagymúltú Igazságügyi Megfigyelő és Elmegyógyító Intézetet (a továbbiakban: IMEI). Munkám során támaszkodtam többek között a már hatályukat vesztett büntető törvénykönyvek és jelenlegi jogi szabályozás elemzésére, valamint empirikus adatokra: az IMEI-től igényelt friss közérdekű adatok elemzését végzi el. A közérdekű adatok leíró statisztikákat tartalmaznak, többek között az intézeti beteglétszámadatokat, kapcsolattartási formák alkalmazásának gyakoriságát és tendenciáit, valamint az intézetben megvalósuló reintegrációs és rehabilitációs programokkal kapcsolatos adatokat. A kutatás kapcsán továbbá 2024. szeptember 20-án szakértői interjút is készítettem egy korábban az IMEI-ben dolgozó szakértővel, akinek személyes tapasztalatai és történetei kontextusba helyezték a megismert statisztikai adatokat, így lehetővé tették a kutatási kérdések megválaszolását és az adatok mélyebb interpretációját.</w:t>
      </w:r>
    </w:p>
    <w:p>
      <w:pPr>
        <w:widowControl w:val="on"/>
        <w:pBdr/>
        <w:spacing w:before="240" w:after="240" w:line="240" w:lineRule="auto"/>
        <w:ind w:left="0" w:right="0"/>
        <w:jc w:val="left"/>
      </w:pPr>
      <w:r>
        <w:rPr>
          <w:color w:val="000000"/>
          <w:sz w:val="24"/>
          <w:szCs w:val="24"/>
        </w:rPr>
        <w:t xml:space="preserve">A dolgozat fejezetei kitérnek a mentális betegekről való társadalmi és szakmai vélekedés történeti alakulásra, a kóros elmeállapot megjelenésére a büntetőjogban, valamint az IMEI intézményére, működésére és adataira. Annak érdekében, hogy a közelmúlt változásait regisztrálja és elemezze a dolgozat, a közérdekű adatigénylés során kapott adatokat összehasonlítottam az Alapvető Jogok Biztosa mint nemzeti megelőző mechanizmus 2016-os látogatásának tapasztalatait részletesen bemutató, AJB-766/2017. számú ügyben tett megállapításaival. A dolgozat a kényszergyógykezelés jelenlegi kihívásainak ismertetésével zárul, rávilágít annak ellentmondásaira, a rehabilitáció-reintegráció hiányosságaira, illetve az intézetből való szabadulás nehézségeire is.</w:t>
      </w:r>
    </w:p>
    <w:p>
      <w:pPr>
        <w:widowControl w:val="on"/>
        <w:pBdr/>
        <w:spacing w:before="240" w:after="240" w:line="240" w:lineRule="auto"/>
        <w:ind w:left="0" w:right="0"/>
        <w:jc w:val="left"/>
      </w:pPr>
      <w:r>
        <w:rPr>
          <w:color w:val="000000"/>
          <w:sz w:val="24"/>
          <w:szCs w:val="24"/>
        </w:rPr>
        <w:t xml:space="preserve">A kényszergyógykezelés eddiginél is mélyrehatóbb megismerése érdekében 2024 nyarán kutatási kérelmet nyújtottam be az IMEI számára, emellett az empirikus elemzést kiegészíti majd egy novemberi intézménylátogatás is.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31069">
    <w:multiLevelType w:val="hybridMultilevel"/>
    <w:lvl w:ilvl="0" w:tplc="73807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31069">
    <w:abstractNumId w:val="995310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14349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