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LAURA HUBAI</w:t>
            </w:r>
          </w:p>
          <w:p w:rsidR="00C275A3" w:rsidRDefault="00CA6B74" w:rsidP="00C275A3">
            <w:pPr>
              <w:pStyle w:val="Hallgatokepzes"/>
            </w:pPr>
            <w:r w:rsidRPr="001067CD">
              <w:rPr>
                <w:i/>
              </w:rPr>
              <w:t>hubaigabica2001@gmail.com</w:t>
            </w:r>
            <w:r w:rsidRPr="001067CD">
              <w:rPr>
                <w:i/>
              </w:rPr>
              <w:br/>
            </w:r>
            <w:r w:rsidR="00A96AEC">
              <w:t>Criminology</w:t>
            </w:r>
            <w:r w:rsidR="00A96AEC">
              <w:br/>
            </w:r>
            <w:r w:rsidR="00E77B23">
              <w:t>MA, 3. semester</w:t>
            </w:r>
          </w:p>
          <w:p w:rsidR="00C265CE" w:rsidRPr="009E5FF1" w:rsidRDefault="00E77B23" w:rsidP="00BA6BAF">
            <w:pPr>
              <w:pStyle w:val="Hallgatointezmeny-kar"/>
              <w:rPr>
                <w:b/>
                <w:caps/>
              </w:rPr>
            </w:pPr>
            <w:r>
              <w:t>Eötvös Loránd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David Vig</w:t>
            </w:r>
          </w:p>
          <w:p w:rsidR="00DB4822" w:rsidRDefault="00DB4822" w:rsidP="00BA6BAF">
            <w:pPr>
              <w:pStyle w:val="Konzulensektitulus"/>
            </w:pPr>
            <w:r w:rsidRPr="00DB4822">
              <w:t>senior lecturer, ELTE ÁJK</w:t>
            </w:r>
          </w:p>
        </w:tc>
      </w:tr>
      <w:tr w:rsidR="00DB4822" w:rsidTr="00DB4822">
        <w:tc>
          <w:tcPr>
            <w:tcW w:w="9854" w:type="dxa"/>
          </w:tcPr>
          <w:p w:rsidR="00DB4822" w:rsidRPr="00DB4822" w:rsidRDefault="00DB4822" w:rsidP="00BA6BAF">
            <w:pPr>
              <w:pStyle w:val="Konzulenseknev"/>
            </w:pPr>
            <w:r w:rsidRPr="00DB4822">
              <w:t>Dániel Bacsák</w:t>
            </w:r>
          </w:p>
          <w:p w:rsidR="00DB4822" w:rsidRDefault="00DB4822" w:rsidP="00BA6BAF">
            <w:pPr>
              <w:pStyle w:val="Konzulensektitulus"/>
            </w:pPr>
            <w:r w:rsidRPr="00DB4822">
              <w:t>visiting lecturer, ELTE ÁJK</w:t>
            </w:r>
          </w:p>
        </w:tc>
      </w:tr>
      <w:tr w:rsidR="00DB4822" w:rsidTr="00DB4822">
        <w:tc>
          <w:tcPr>
            <w:tcW w:w="9854" w:type="dxa"/>
          </w:tcPr>
          <w:p w:rsidR="00DB4822" w:rsidRPr="00DB4822" w:rsidRDefault="00DB4822" w:rsidP="00BA6BAF">
            <w:pPr>
              <w:pStyle w:val="Konzulenseknev"/>
            </w:pPr>
            <w:r w:rsidRPr="00DB4822">
              <w:t>Lili Krámer</w:t>
            </w:r>
          </w:p>
          <w:p w:rsidR="00DB4822" w:rsidRDefault="00DB4822" w:rsidP="00BA6BAF">
            <w:pPr>
              <w:pStyle w:val="Konzulensektitulus"/>
            </w:pPr>
            <w:r w:rsidRPr="00DB4822">
              <w:t>visiting lecturer,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purpose, implementation and challenges of coercive medical treatment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Forensic Psychiatric and Mental Institution; psyhiatry; coercive medical treatment; mental state</w:t>
      </w:r>
      <w:r>
        <w:t xml:space="preserve"/>
      </w:r>
    </w:p>
    <w:p>
      <w:pPr>
        <w:widowControl w:val="on"/>
        <w:pBdr/>
        <w:spacing w:before="240" w:after="240" w:line="240" w:lineRule="auto"/>
        <w:ind w:left="0" w:right="0"/>
        <w:jc w:val="left"/>
      </w:pPr>
      <w:r>
        <w:rPr>
          <w:color w:val="000000"/>
          <w:sz w:val="24"/>
          <w:szCs w:val="24"/>
        </w:rPr>
        <w:t xml:space="preserve">This thesis explores the topic of coercive medical treatment by investigating its historical background, legal regulations, and practical applications.</w:t>
      </w:r>
    </w:p>
    <w:p>
      <w:pPr>
        <w:widowControl w:val="on"/>
        <w:pBdr/>
        <w:spacing w:before="240" w:after="240" w:line="240" w:lineRule="auto"/>
        <w:ind w:left="0" w:right="0"/>
        <w:jc w:val="left"/>
      </w:pPr>
      <w:r>
        <w:rPr>
          <w:color w:val="000000"/>
          <w:sz w:val="24"/>
          <w:szCs w:val="24"/>
        </w:rPr>
        <w:t xml:space="preserve">My research is motivated by a multifaceted curiosity, examining the purpose and framework of coercive treatment and how it has evolved over time. I focus on the current implementation of these measures and the long-established Forensic Psychiatric and Mental Institution (Hungarian abbreviation: IMEI) that administers them. I have utilized various sources, including an analysis of criminal law and empirical data obtained from the Forensic Psychiatric and Mental Institution. This data includes descriptive statistics on the number of patients in the institution, trends in the use of contact forms, and information about the rehabilitation and reintegration programs currently offered.</w:t>
      </w:r>
    </w:p>
    <w:p>
      <w:pPr>
        <w:widowControl w:val="on"/>
        <w:pBdr/>
        <w:spacing w:before="240" w:after="240" w:line="240" w:lineRule="auto"/>
        <w:ind w:left="0" w:right="0"/>
        <w:jc w:val="left"/>
      </w:pPr>
      <w:r>
        <w:rPr>
          <w:color w:val="000000"/>
          <w:sz w:val="24"/>
          <w:szCs w:val="24"/>
        </w:rPr>
        <w:t xml:space="preserve">Additionally, I conducted an expert interview on September 20, 2024, with a former staff member of the institution. Their personal experiences and narratives provided valuable context for the statistics, helping me to address the research questions and interpret the data more effectively.</w:t>
      </w:r>
    </w:p>
    <w:p>
      <w:pPr>
        <w:widowControl w:val="on"/>
        <w:pBdr/>
        <w:spacing w:before="240" w:after="240" w:line="240" w:lineRule="auto"/>
        <w:ind w:left="0" w:right="0"/>
        <w:jc w:val="left"/>
      </w:pPr>
      <w:r>
        <w:rPr>
          <w:color w:val="000000"/>
          <w:sz w:val="24"/>
          <w:szCs w:val="24"/>
        </w:rPr>
        <w:t xml:space="preserve">The chapters of this thesis cover the historical development of societal and professional perceptions of mental illness, the integration of mental illness into criminal law, and details regarding the Forensic Psychiatric and Mental Institution's operations and data. To examine recent changes, I compare current findings with those noted during the visit from The Commissioner for Fundamental Rights, a national preventive mechanism, in 2016, which includes experiences from case AJB-766/2017. The paper concludes by outlining the current challenges associated with coercive medical treatment, highlighting existing contradictions, the inadequacies of rehabilitation and reintegration, and the complexities involved in releasing individuals from the institution.</w:t>
      </w:r>
    </w:p>
    <w:p>
      <w:pPr>
        <w:widowControl w:val="on"/>
        <w:pBdr/>
        <w:spacing w:before="240" w:after="240" w:line="240" w:lineRule="auto"/>
        <w:ind w:left="0" w:right="0"/>
        <w:jc w:val="left"/>
      </w:pPr>
      <w:r>
        <w:rPr>
          <w:color w:val="000000"/>
          <w:sz w:val="24"/>
          <w:szCs w:val="24"/>
        </w:rPr>
        <w:t xml:space="preserve">To gain a deeper understanding of coercive medical treatment, I submitted a research request to the Forensic Psychiatric and Mental Institution in the summer of 2024. The empirical analysis will be complemented by a visit to the institution in November.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38241">
    <w:multiLevelType w:val="hybridMultilevel"/>
    <w:lvl w:ilvl="0" w:tplc="13310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38241">
    <w:abstractNumId w:val="28638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694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