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NYULAS</w:t>
            </w:r>
          </w:p>
          <w:p w:rsidR="00C275A3" w:rsidRDefault="00CA6B74" w:rsidP="00C275A3">
            <w:pPr>
              <w:pStyle w:val="Hallgatokepzes"/>
            </w:pPr>
            <w:r w:rsidRPr="001067CD">
              <w:rPr>
                <w:i/>
              </w:rPr>
              <w:t>nyulaskrisztinaa@gmail.com</w:t>
            </w:r>
            <w:r w:rsidRPr="001067CD">
              <w:rPr>
                <w:i/>
              </w:rPr>
              <w:br/>
            </w:r>
            <w:r w:rsidR="00A96AEC">
              <w:t>criminology</w:t>
            </w:r>
            <w:r w:rsidR="00A96AEC">
              <w:br/>
            </w:r>
            <w:r w:rsidR="00E77B23">
              <w:t>MA, 3. semester</w:t>
            </w:r>
          </w:p>
          <w:p w:rsidR="00C265CE" w:rsidRPr="009E5FF1" w:rsidRDefault="00E77B23" w:rsidP="00BA6BAF">
            <w:pPr>
              <w:pStyle w:val="Hallgatointezmeny-kar"/>
              <w:rPr>
                <w:b/>
                <w:caps/>
              </w:rPr>
            </w:pPr>
            <w:r>
              <w:t>Eötvös Loránd University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György Virág</w:t>
            </w:r>
          </w:p>
          <w:p w:rsidR="00DB4822" w:rsidRDefault="00DB4822" w:rsidP="00BA6BAF">
            <w:pPr>
              <w:pStyle w:val="Konzulensektitulus"/>
            </w:pPr>
            <w:r w:rsidRPr="00DB4822">
              <w:t>senior lecturer, ELTE ÁJK</w:t>
            </w:r>
          </w:p>
        </w:tc>
      </w:tr>
      <w:tr w:rsidR="00DB4822" w:rsidTr="00DB4822">
        <w:tc>
          <w:tcPr>
            <w:tcW w:w="9854" w:type="dxa"/>
          </w:tcPr>
          <w:p w:rsidR="00DB4822" w:rsidRPr="00DB4822" w:rsidRDefault="00DB4822" w:rsidP="00BA6BAF">
            <w:pPr>
              <w:pStyle w:val="Konzulenseknev"/>
            </w:pPr>
            <w:r w:rsidRPr="00DB4822">
              <w:t>Zsuzsanna Rózsás</w:t>
            </w:r>
          </w:p>
          <w:p w:rsidR="00DB4822" w:rsidRDefault="00DB4822" w:rsidP="00BA6BAF">
            <w:pPr>
              <w:pStyle w:val="Konzulensektitulus"/>
            </w:pPr>
            <w:r w:rsidRPr="00DB4822">
              <w:t>PhD student,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you don't know can't hurt you" - the underrepresentation of sexual violence in crime statistics, failure to report and their social impact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sexual violence, latency, victim perception, rape myths</w:t>
      </w:r>
      <w:r>
        <w:t xml:space="preserve"/>
      </w:r>
    </w:p>
    <w:p>
      <w:pPr>
        <w:widowControl w:val="on"/>
        <w:pBdr/>
        <w:spacing w:before="240" w:after="240" w:line="240" w:lineRule="auto"/>
        <w:ind w:left="0" w:right="0"/>
        <w:jc w:val="left"/>
      </w:pPr>
      <w:r>
        <w:rPr>
          <w:color w:val="000000"/>
          <w:sz w:val="24"/>
          <w:szCs w:val="24"/>
        </w:rPr>
        <w:t xml:space="preserve">The rate of unreported sexual violence seems to be especially high in Hungary, with vastly different numbers found while comparing data from crime statistics to reports from victims’ surveys. This latency could be attributed to legal, societal and personal reasons. In our study, we hypothesized that the low number of registered cases could be connected to people’s attitudes towards the victims, specifically in relation to rape myth acceptance and empathy towards victims. Our aim was to examine this relationship and the potential effect that knowledge and personal experience relating to sexual violence could have on the perception of the victims in general. In addition, we found it important to address whether a difference in perception could be found based on whether the crime was reported by the victim.</w:t>
      </w:r>
      <w:r>
        <w:rPr>
          <w:color w:val="000000"/>
          <w:sz w:val="24"/>
          <w:szCs w:val="24"/>
        </w:rPr>
        <w:br/>
        <w:t xml:space="preserve">The results of our questionnaire show that less than half of our sample had correct information regarding the number of sexual violence victims and the proportion of the crime which is reported to the authorities. We found that the estimated number of victims significantly correlated with both the acceptance of rape myths and the empathy towards rape victims, albeit the relationship was weak. With reference to the estimated report rate, we found no significant connection with either of the previously mentioned variables or the perception of victims who choose not to report. Contrary to our hypothesis, it seems that there is no significant difference in the perception of victims who report the crime and victims who do not. (However, the response is slightly more positive in the case of the latter.)</w:t>
      </w:r>
      <w:r>
        <w:rPr>
          <w:color w:val="000000"/>
          <w:sz w:val="24"/>
          <w:szCs w:val="24"/>
        </w:rPr>
        <w:br/>
        <w:t xml:space="preserve">Although not all our hypothesises were supported by our results, we believe that our study still contains quite a few important findings. The results show that even the population that is most affected by (and possibly more subjected to information related to) sexual violence lacks knowledge in some aspects, especially statistics. Additionally, it is important to note the results concerning reporting behaviour, as it is possible that the lack of any difference could be related to the high latency rate: perhaps the knowledge that the reporting rate is so low lead to the action of not doing so becoming the norm, with personal experiences also influencing people’s view on the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86956">
    <w:multiLevelType w:val="hybridMultilevel"/>
    <w:lvl w:ilvl="0" w:tplc="67445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86956">
    <w:abstractNumId w:val="663869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86545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