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POLONYI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polonyi.domonkos@gmail.com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Rozsnyai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Befagyó konfliktusok. A közigazgatási és más ügyben eljáró bíróságok közötti hatásköri összeütközések eljárási problémái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közigazgatási per; hatásköri összeütközés; hatásköri bíróság; közigazgatási bíróság primátusa; vegyes tanács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jogorvoslati eszközök állnak az alperes rendelkezésére, ha a felperes tévesen perli őt polgári bíróság előtt? Át tudja terelni közigazgatási bírói útra az ügyet, ha a hatásköri kifogásának nem ad helyt a bíróság? Tud érvényesülni a közigazgatási ügyben eljáró bíróság primátusaként emlegetett elv, amelyet a közigazgatási perrendtartásról szóló 2017. évi I. törvény (a továbbiakban: Kp.) fektetett le?</w:t>
      </w:r>
      <w:r>
        <w:rPr>
          <w:color w:val="000000"/>
          <w:sz w:val="24"/>
          <w:szCs w:val="24"/>
        </w:rPr>
        <w:br/>
        <w:t xml:space="preserve">A fenti kérdések arra mutatnak rá, hogy a közigazgatási és a más ügyben eljáró bíróságok közötti hatásköri összeütközésekre alkalmazandó eljárási szabályozással kapcsolatban sok a bizonytalanság, így a témával érdemes tudományos szinten foglalkozni. A tanulmány célja, hogy minél pontosabban azonosítsa a fennálló problémákat és ezekre megoldási javaslatot kínáljon.</w:t>
      </w:r>
      <w:r>
        <w:rPr>
          <w:color w:val="000000"/>
          <w:sz w:val="24"/>
          <w:szCs w:val="24"/>
        </w:rPr>
        <w:br/>
        <w:t xml:space="preserve">A tanulmányban arra vállalkozom, hogy a javaslatot a történeti és a nemzetközi kontextus feltárására, valamint a hatályos szabályozás alapos értelmezésére építve dolgozom ki. A kutatás során alapvetően két módszertannal operáltam: az összehasonlító jog és a jogtörténet eszköztárát vettem igénybe ahhoz, hogy minél megalapozottabb javaslatokat tudjak megfogalmazni. A pályamunka érdemben ismerteti a vonatkozó francia és német szabályozást és az azt tárgyaló szakirodalmat, amivel álláspontom szerint jelentősen hozzá tud járulni a közigazgatási jogi szakirodalomhoz, hiszen ezek fejleményeiről magyar nyelven évtizedek óta nem született beszámoló.</w:t>
      </w:r>
      <w:r>
        <w:rPr>
          <w:color w:val="000000"/>
          <w:sz w:val="24"/>
          <w:szCs w:val="24"/>
        </w:rPr>
        <w:br/>
        <w:t xml:space="preserve">A tanulmányban külön fejezetet szenteltem a francia, a német és a magyar jogrendszernek, minél teljesebb képet adva a három ország releváns eljárásjogi szabályairól. Ezek után következik a hatályos magyar jog fent említett problémás pontjának és az erre vonatkozó megoldási lehetőségnek az elemzése. A tanulmányt de lege ferenda javaslatok zárják.</w:t>
      </w:r>
      <w:r>
        <w:rPr>
          <w:color w:val="000000"/>
          <w:sz w:val="24"/>
          <w:szCs w:val="24"/>
        </w:rPr>
        <w:br/>
        <w:t xml:space="preserve">Az általam legfontosabbnak tartott végkövetkeztetés az, hogy a pozitív összeütközésekre kialakított francia eljárásrend (az ún. panaszjog) átvétele úgy tudná orvosolni a jelenlegi rendszer problémáit, hogy közben azzal a koncepcióval is összhangban áll, ami a jogalkotót a Kp. hatályos szabályainak megalkotásánál vezette.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74677">
    <w:multiLevelType w:val="hybridMultilevel"/>
    <w:lvl w:ilvl="0" w:tplc="95032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74677">
    <w:abstractNumId w:val="25274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503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