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ANDOR JÚLIA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andorjuli@gmail.com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ANDOR SÁRA ÁGNES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andorsara4@gmail.com</w:t>
            </w:r>
            <w:bookmarkStart w:id="1" w:name="_GoBack"/>
            <w:bookmarkEnd w:id="1"/>
            <w:r w:rsidRPr="001067CD">
              <w:br/>
            </w:r>
            <w:r w:rsidR="00C275A3">
              <w:t>Jogász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Beliznai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bírósági határozatok normatív kötőereje régen és most. A döntvényjogtól a korlátozott precedensrendszerig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döntvényjog; korlátozott precedensrendszer; normatív kötőerő; jogegység; jogforrások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bírósági határozatok normatív kötőereje aktuális kérdés, tekintettel arra, hogy 5 évvel ezelőtt lépett hatályba a korlátozott precedensrendszert megteremtő igazságügyi reform, melynek lényege, hogy a Kúria Bírósági Határozatok Gyűjteményében közzétett határozatait minden bíróságnak kötelező követni. A rendszert újnak és idegennek tartották a magyar jogban, azonban olyan vélemények is születtek, miszerint nem előzmény nélküli. Többen is a döntvényjoggal hozták összefüggésbe, a két rendszerben pedig valóban közös elem a kúriai határozatok normatív kötőereje.</w:t>
      </w:r>
      <w:r>
        <w:rPr>
          <w:color w:val="000000"/>
          <w:sz w:val="24"/>
          <w:szCs w:val="24"/>
        </w:rPr>
        <w:br/>
        <w:t xml:space="preserve">Hipotézisünk így az volt, hogy a 19. század végi – 20. század eleji döntvényjog a korlátozott precedensrendszer előzményének tekinthető, így az nem idegen a magyar jogi kultúrában. Ennek megállapításához vizsgáltuk a bírósági határozatok normatív kötőerejének törvényi szabályozását, megítélését, bevezetése szükségességének okát, a határozatok hozzáférhetőségét és a határozattól való eltérés esetére szolgáló jogorvoslati lehetőségeket.</w:t>
      </w:r>
      <w:r>
        <w:rPr>
          <w:color w:val="000000"/>
          <w:sz w:val="24"/>
          <w:szCs w:val="24"/>
        </w:rPr>
        <w:br/>
        <w:t xml:space="preserve">A kutatás során összehasonlító módszertant alkalmaztunk. Elsődleges forrásként többek között jogszabályokat, eredeti gyűjteményeket és képviselőházi naplókat, másodlagos forrásként pedig korabeli, illetve jelenlegi szakcikkeket, tanulmányokat használtunk a szempontok összevetéséhez. A vizsgálatot a polgári igazságszolgáltatásra nézve folytattuk le, mivel a bírósági határozatok normatív kötőerejének mind a döntvényjog idején a polgári törvénykönyv hiánya, mind ma a magas absztrakciós szintű törvényi szabályozás miatt „kvázi” jogforrásként nagy szerepe van.</w:t>
      </w:r>
      <w:r>
        <w:rPr>
          <w:color w:val="000000"/>
          <w:sz w:val="24"/>
          <w:szCs w:val="24"/>
        </w:rPr>
        <w:br/>
        <w:t xml:space="preserve">Kutatásunk végén arra a következtetésre jutottunk, hogy hipotézisünk jelentős részben igaznak bizonyult, mert a korlátozott precedensrendszer és a döntvényjog is hasonló eszközként hasonló problémákra – így a jogegység hiányára – reagált két különböző korban, és gyakorlati alkalmazásuk során hasonló dilemmák, problémák és igények merültek fel, mint például a bírói függetlenség, a hozzáférhetőség és a jogorvoslat kérdése. Különbség azonban, hogy ma már nemcsak a Kúria vitás, elvi kérdésekben döntő határozatait kell követni, hanem minden közzétett határozatát, ami már távolodást jelent a döntvényjogi előzménytől. Ezek alapján de lege ferenda javaslatunk például, hogy több figyelmet kellene fordítani a jogászok új rendszernek megfelelő képzésére és a határozatok hozzáférhetőségére, megismerhetőségére.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61229">
    <w:multiLevelType w:val="hybridMultilevel"/>
    <w:lvl w:ilvl="0" w:tplc="33260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61229">
    <w:abstractNumId w:val="36861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807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