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RUPNIK JÁNOS</w:t>
            </w:r>
          </w:p>
          <w:p w:rsidR="00C275A3" w:rsidRDefault="00CA6B74" w:rsidP="00C275A3">
            <w:pPr>
              <w:pStyle w:val="Hallgatokepzes"/>
            </w:pPr>
            <w:r w:rsidRPr="001067CD">
              <w:rPr>
                <w:i/>
              </w:rPr>
              <w:t>janos.rupnik@gmail.com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Horváth Attila</w:t>
            </w:r>
          </w:p>
          <w:p w:rsidR="00DB4822" w:rsidRDefault="00DB4822" w:rsidP="00BA6BAF">
            <w:pPr>
              <w:pStyle w:val="Konzulensektitulus"/>
            </w:pPr>
            <w:r w:rsidRPr="00DB4822">
              <w:t>egyetemi magántanár,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Történeti alkotmányunk ma - a történeti alkotmány idő- és funkcióbeli határai, valamint helye az Alaptörvény egyedi alkotmányos rendszerében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történeti alkotmány; R) cikk; 1946. évi I. törvény; rugalmas alkotmány</w:t>
      </w:r>
      <w:r>
        <w:t xml:space="preserve"/>
      </w:r>
    </w:p>
    <w:p>
      <w:pPr>
        <w:widowControl w:val="on"/>
        <w:pBdr/>
        <w:spacing w:before="240" w:after="240" w:line="240" w:lineRule="auto"/>
        <w:ind w:left="0" w:right="0"/>
        <w:jc w:val="left"/>
      </w:pPr>
      <w:r>
        <w:rPr>
          <w:color w:val="000000"/>
          <w:sz w:val="24"/>
          <w:szCs w:val="24"/>
        </w:rPr>
        <w:t xml:space="preserve">Az Alaptörvény rendszerében a történeti alkotmány és az alkotmánytörténet aktuális jogi eszközzé vált. Kérdés azonban, hogy mely periódusokból származó normákat, milyen módon, milyen mértékben hasznosíthatjuk ma, és mindez milyen alkotmánytörténeti lépcsőkből következik. Ehhez szükséges meghatározni a történeti alkotmány Alaptörvény által el nem ismert felfüggesztésének határait, azonosítani funkcióbeli kihasználhatóságát és végül az Alaptörvényhez való viszonyát. E kérdésköröket a történelmi események alkotmányjogi implikációira, a kortársak és az utókor értékelésére, a történeti alkotmány alapvető tulajdonságaira, valamint az alkotmánybírósági gyakorlatra figyelemmel járja körbe a dolgozat.</w:t>
      </w:r>
      <w:r>
        <w:rPr>
          <w:color w:val="000000"/>
          <w:sz w:val="24"/>
          <w:szCs w:val="24"/>
        </w:rPr>
        <w:br/>
        <w:t xml:space="preserve">Álláspontom szerint a történeti alkotmány de facto felfüggesztése nem egyszer, hanem többször történt meg, amely időpontok között lehetőség nyílt továbbfejlődésére. Különösen az 1946. évi I. tv. esetében, amely – tekintettel formájára, történeti hagyományokhoz való kapcsolódására, értékteremtő és paradigmaváltó jellegére, valamint a Szent Korona tannal való kompatibilitására - a történeti alkotmány részének tekinthető. Legutóbbi felfüggesztését követően a történeti alkotmány feléledésének elméleti feltételei 1990. május 2. óta fennállnak, azonban az Alaptörvény elfogadásáig alkalmazhatósága és így fejlődése szinte lehetetlen volt.</w:t>
      </w:r>
      <w:r>
        <w:rPr>
          <w:color w:val="000000"/>
          <w:sz w:val="24"/>
          <w:szCs w:val="24"/>
        </w:rPr>
        <w:br/>
        <w:t xml:space="preserve">Az Alaptörvénnyel bekövetkező alkalmazandósági időszakban – figyelemmel arra, hogy a történeti alkotmány alapvető tulajdonsága a folyamatos szerves fejlődés – nem csupán a régi normák figyelembevétele, hanem a további fejlődés előtt is meg kell nyíljon az út, habár ennek mikéntje még nem körvonalazódott. E fejlődés során azonban az 1905-ös alkotmányos válság példája alapján óvatosan kell bánni a történeti alkotmány jellegadó rugalmasságával, hiszen az a jogbiztonsággal ellentétes helyzeteket is teremtett a múltban. Figyelemmel kell lenni továbbá arra, hogy a fentiek szerint meghatározott határok között a történeti alkotmányt nem lehet örökkévalósági klauzulaként vagy párhuzamos alkotmányként alkalmazni, csakis értelmezési eszközként.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51463">
    <w:multiLevelType w:val="hybridMultilevel"/>
    <w:lvl w:ilvl="0" w:tplc="97143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51463">
    <w:abstractNumId w:val="24051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690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