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FÁBIÁN JÓZSEF</w:t>
            </w:r>
          </w:p>
          <w:p w:rsidR="00C275A3" w:rsidRDefault="00CA6B74" w:rsidP="00C275A3">
            <w:pPr>
              <w:pStyle w:val="Hallgatokepzes"/>
            </w:pPr>
            <w:r w:rsidRPr="001067CD">
              <w:rPr>
                <w:i/>
              </w:rPr>
              <w:t>fabian.jozsef.0107@gmail.com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Papp Mónika</w:t>
            </w:r>
          </w:p>
          <w:p w:rsidR="00DB4822" w:rsidRDefault="00DB4822" w:rsidP="00BA6BAF">
            <w:pPr>
              <w:pStyle w:val="Konzulensektitulus"/>
            </w:pPr>
            <w:r w:rsidRPr="00DB4822">
              <w:t>adjunktus, ELTE ÁJK</w:t>
            </w:r>
          </w:p>
        </w:tc>
      </w:tr>
      <w:tr w:rsidR="00DB4822" w:rsidTr="00DB4822">
        <w:tc>
          <w:tcPr>
            <w:tcW w:w="9854" w:type="dxa"/>
          </w:tcPr>
          <w:p w:rsidR="00DB4822" w:rsidRPr="00DB4822" w:rsidRDefault="00DB4822" w:rsidP="00BA6BAF">
            <w:pPr>
              <w:pStyle w:val="Konzulenseknev"/>
            </w:pPr>
            <w:r w:rsidRPr="00DB4822">
              <w:t>Dr. Szendrő Szabolcs</w:t>
            </w:r>
          </w:p>
          <w:p w:rsidR="00DB4822" w:rsidRDefault="00DB4822" w:rsidP="00BA6BAF">
            <w:pPr>
              <w:pStyle w:val="Konzulensektitulus"/>
            </w:pPr>
            <w:r w:rsidRPr="00DB4822">
              <w:t>oktató,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félreértett koncepció? Az ugyanannyira hatékony versenytárs alapelvének elemzése az EUMSz. 102. cikkének gyakorlatában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EUMSZ; erőfölény; visszaélés; kiszorító; hatás</w:t>
      </w:r>
      <w:r>
        <w:t xml:space="preserve"/>
      </w:r>
    </w:p>
    <w:p>
      <w:pPr>
        <w:widowControl w:val="on"/>
        <w:pBdr/>
        <w:spacing w:before="240" w:after="240" w:line="240" w:lineRule="auto"/>
        <w:ind w:left="0" w:right="0"/>
        <w:jc w:val="left"/>
      </w:pPr>
      <w:r>
        <w:rPr>
          <w:color w:val="000000"/>
          <w:sz w:val="24"/>
          <w:szCs w:val="24"/>
        </w:rPr>
        <w:t xml:space="preserve">A dolgozat az „ugyanannyira hatékony versenytárs” alapelv, vagyis az AEC elv alkalmazásában és alkalmazhatóságában mutatkozó ellentmondásokat, az uniós joggyakorlatban felmerülő inkonzisztenciákat vizsgálja. A tanulmány egyrészt rávilágít arra, hogy az elv egyes gyakorlatok vonatkozásában központi jelentőséggel bír, míg más esetekben vagy mellőzőtt, vagy nehezen értelmezhető, hogy milyen formában érvényesül, különösen nem árazásalapú magatartások tekintetében. Emellett a dolgozat hangsúlyozza, hogy piaci körülmények függvényében az AEC elv mellőzése indokolt lehet a kevésbé hatékony versenytársak által gyakorolt versenynyomás védelmének érdekében is, ami az egyre koncentrálódó uniós piacokon különös jelentőséggel bírhat. A tanulmány a joggyakorlat elemzéséből levont következtetésekből egy koherensebb rendszert kíván alkotni, amelynek mentén az Európai Bizottság új Iránymutatás-Tervezetével kapcsolatosan is érdemi kritikákat tesz.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44331">
    <w:multiLevelType w:val="hybridMultilevel"/>
    <w:lvl w:ilvl="0" w:tplc="23205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44331">
    <w:abstractNumId w:val="154443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56033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